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Look w:val="04A0" w:firstRow="1" w:lastRow="0" w:firstColumn="1" w:lastColumn="0" w:noHBand="0" w:noVBand="1"/>
      </w:tblPr>
      <w:tblGrid>
        <w:gridCol w:w="4928"/>
        <w:gridCol w:w="4252"/>
      </w:tblGrid>
      <w:tr w:rsidR="00692093" w:rsidRPr="00EE1606" w14:paraId="5E3E0BEA" w14:textId="77777777" w:rsidTr="00767D12">
        <w:tc>
          <w:tcPr>
            <w:tcW w:w="4928" w:type="dxa"/>
            <w:shd w:val="clear" w:color="auto" w:fill="auto"/>
          </w:tcPr>
          <w:p w14:paraId="5E3E0BE0" w14:textId="77777777" w:rsidR="00692093" w:rsidRPr="00153532" w:rsidRDefault="00692093" w:rsidP="006044B5">
            <w:pPr>
              <w:jc w:val="center"/>
              <w:rPr>
                <w:b/>
                <w:sz w:val="28"/>
                <w:szCs w:val="28"/>
              </w:rPr>
            </w:pPr>
          </w:p>
        </w:tc>
        <w:tc>
          <w:tcPr>
            <w:tcW w:w="4252" w:type="dxa"/>
            <w:shd w:val="clear" w:color="auto" w:fill="auto"/>
          </w:tcPr>
          <w:p w14:paraId="5E3E0BE1" w14:textId="77777777" w:rsidR="00DE4FE1" w:rsidRPr="00AB7AD7" w:rsidRDefault="00DE4FE1" w:rsidP="00DE4FE1">
            <w:pPr>
              <w:ind w:right="-534"/>
              <w:rPr>
                <w:b/>
                <w:sz w:val="28"/>
                <w:szCs w:val="28"/>
              </w:rPr>
            </w:pPr>
            <w:r w:rsidRPr="00AB7AD7">
              <w:rPr>
                <w:b/>
                <w:sz w:val="28"/>
                <w:szCs w:val="28"/>
              </w:rPr>
              <w:t>УТВЕРЖДЕНА</w:t>
            </w:r>
          </w:p>
          <w:p w14:paraId="5E3E0BE2" w14:textId="77777777" w:rsidR="00DE4FE1" w:rsidRPr="00EE1606" w:rsidRDefault="00DE4FE1" w:rsidP="00DE4FE1">
            <w:pPr>
              <w:ind w:right="-534"/>
              <w:rPr>
                <w:sz w:val="28"/>
                <w:szCs w:val="28"/>
              </w:rPr>
            </w:pPr>
            <w:r w:rsidRPr="00EE1606">
              <w:rPr>
                <w:sz w:val="28"/>
                <w:szCs w:val="28"/>
              </w:rPr>
              <w:t xml:space="preserve">Приказом Председателя </w:t>
            </w:r>
          </w:p>
          <w:p w14:paraId="5E3E0BE3" w14:textId="77777777" w:rsidR="00DE4FE1" w:rsidRPr="00EE1606" w:rsidRDefault="00DE4FE1" w:rsidP="00DE4FE1">
            <w:pPr>
              <w:ind w:right="-534"/>
              <w:rPr>
                <w:sz w:val="28"/>
                <w:szCs w:val="28"/>
              </w:rPr>
            </w:pPr>
            <w:r w:rsidRPr="00EE1606">
              <w:rPr>
                <w:sz w:val="28"/>
                <w:szCs w:val="28"/>
              </w:rPr>
              <w:t xml:space="preserve">РГУ «Комитет </w:t>
            </w:r>
            <w:proofErr w:type="gramStart"/>
            <w:r w:rsidRPr="00EE1606">
              <w:rPr>
                <w:sz w:val="28"/>
                <w:szCs w:val="28"/>
              </w:rPr>
              <w:t>медицинского</w:t>
            </w:r>
            <w:proofErr w:type="gramEnd"/>
          </w:p>
          <w:p w14:paraId="5E3E0BE4" w14:textId="77777777" w:rsidR="00DE4FE1" w:rsidRPr="00EE1606" w:rsidRDefault="00DE4FE1" w:rsidP="00DE4FE1">
            <w:pPr>
              <w:ind w:right="-534"/>
              <w:rPr>
                <w:sz w:val="28"/>
                <w:szCs w:val="28"/>
              </w:rPr>
            </w:pPr>
            <w:r w:rsidRPr="00EE1606">
              <w:rPr>
                <w:sz w:val="28"/>
                <w:szCs w:val="28"/>
              </w:rPr>
              <w:t>и фармацевтического контроля</w:t>
            </w:r>
          </w:p>
          <w:p w14:paraId="5E3E0BE5" w14:textId="77777777" w:rsidR="00DE4FE1" w:rsidRPr="00EE1606" w:rsidRDefault="00DE4FE1" w:rsidP="00DE4FE1">
            <w:pPr>
              <w:ind w:right="-534"/>
              <w:rPr>
                <w:sz w:val="28"/>
                <w:szCs w:val="28"/>
              </w:rPr>
            </w:pPr>
            <w:r w:rsidRPr="00EE1606">
              <w:rPr>
                <w:sz w:val="28"/>
                <w:szCs w:val="28"/>
              </w:rPr>
              <w:t xml:space="preserve">Министерства здравоохранения </w:t>
            </w:r>
          </w:p>
          <w:p w14:paraId="5E3E0BE6" w14:textId="77777777" w:rsidR="00DE4FE1" w:rsidRPr="00EE1606" w:rsidRDefault="00DE4FE1" w:rsidP="00DE4FE1">
            <w:pPr>
              <w:ind w:right="-534"/>
              <w:rPr>
                <w:sz w:val="28"/>
                <w:szCs w:val="28"/>
              </w:rPr>
            </w:pPr>
            <w:r w:rsidRPr="00EE1606">
              <w:rPr>
                <w:sz w:val="28"/>
                <w:szCs w:val="28"/>
              </w:rPr>
              <w:t>Республики Казахстан»</w:t>
            </w:r>
          </w:p>
          <w:p w14:paraId="5E3E0BE7" w14:textId="77777777" w:rsidR="00DE4FE1" w:rsidRPr="00EE1606" w:rsidRDefault="00DE4FE1" w:rsidP="00DE4FE1">
            <w:pPr>
              <w:ind w:right="-534"/>
              <w:rPr>
                <w:sz w:val="28"/>
                <w:szCs w:val="28"/>
              </w:rPr>
            </w:pPr>
            <w:r w:rsidRPr="00EE1606">
              <w:rPr>
                <w:sz w:val="28"/>
                <w:szCs w:val="28"/>
              </w:rPr>
              <w:t>от «</w:t>
            </w:r>
            <w:r w:rsidR="00143677" w:rsidRPr="00EE1606">
              <w:rPr>
                <w:sz w:val="28"/>
                <w:szCs w:val="28"/>
              </w:rPr>
              <w:t>___</w:t>
            </w:r>
            <w:r w:rsidRPr="00EE1606">
              <w:rPr>
                <w:sz w:val="28"/>
                <w:szCs w:val="28"/>
              </w:rPr>
              <w:t>»</w:t>
            </w:r>
            <w:r w:rsidR="00762D50" w:rsidRPr="002A28A6">
              <w:rPr>
                <w:sz w:val="28"/>
                <w:szCs w:val="28"/>
              </w:rPr>
              <w:t xml:space="preserve"> </w:t>
            </w:r>
            <w:r w:rsidR="00143677" w:rsidRPr="00EE1606">
              <w:rPr>
                <w:sz w:val="28"/>
                <w:szCs w:val="28"/>
              </w:rPr>
              <w:t>_________</w:t>
            </w:r>
            <w:r w:rsidR="00762D50" w:rsidRPr="00EE1606">
              <w:rPr>
                <w:sz w:val="28"/>
                <w:szCs w:val="28"/>
              </w:rPr>
              <w:t xml:space="preserve"> </w:t>
            </w:r>
            <w:r w:rsidRPr="00EE1606">
              <w:rPr>
                <w:sz w:val="28"/>
                <w:szCs w:val="28"/>
              </w:rPr>
              <w:t>20</w:t>
            </w:r>
            <w:r w:rsidR="00762D50" w:rsidRPr="00EE1606">
              <w:rPr>
                <w:sz w:val="28"/>
                <w:szCs w:val="28"/>
              </w:rPr>
              <w:t>2</w:t>
            </w:r>
            <w:r w:rsidR="00143677" w:rsidRPr="00EE1606">
              <w:rPr>
                <w:sz w:val="28"/>
                <w:szCs w:val="28"/>
              </w:rPr>
              <w:t>_</w:t>
            </w:r>
            <w:r w:rsidR="00762D50" w:rsidRPr="00EE1606">
              <w:rPr>
                <w:sz w:val="28"/>
                <w:szCs w:val="28"/>
              </w:rPr>
              <w:t xml:space="preserve"> </w:t>
            </w:r>
            <w:r w:rsidRPr="00EE1606">
              <w:rPr>
                <w:sz w:val="28"/>
                <w:szCs w:val="28"/>
              </w:rPr>
              <w:t>г.</w:t>
            </w:r>
          </w:p>
          <w:p w14:paraId="5E3E0BE8" w14:textId="77777777" w:rsidR="00DE4FE1" w:rsidRPr="00EE1606" w:rsidRDefault="00DE4FE1" w:rsidP="00DE4FE1">
            <w:pPr>
              <w:ind w:right="-534"/>
              <w:rPr>
                <w:sz w:val="28"/>
                <w:szCs w:val="28"/>
              </w:rPr>
            </w:pPr>
            <w:r w:rsidRPr="00EE1606">
              <w:rPr>
                <w:sz w:val="28"/>
                <w:szCs w:val="28"/>
              </w:rPr>
              <w:t xml:space="preserve">№ </w:t>
            </w:r>
            <w:r w:rsidR="00143677" w:rsidRPr="00EE1606">
              <w:rPr>
                <w:sz w:val="28"/>
                <w:szCs w:val="28"/>
              </w:rPr>
              <w:t>_____________</w:t>
            </w:r>
          </w:p>
          <w:p w14:paraId="5E3E0BE9" w14:textId="77777777" w:rsidR="00692093" w:rsidRPr="00EE1606" w:rsidRDefault="00692093" w:rsidP="006044B5">
            <w:pPr>
              <w:jc w:val="center"/>
              <w:rPr>
                <w:b/>
                <w:sz w:val="28"/>
                <w:szCs w:val="28"/>
              </w:rPr>
            </w:pPr>
          </w:p>
        </w:tc>
      </w:tr>
    </w:tbl>
    <w:p w14:paraId="5E3E0BEB" w14:textId="77777777" w:rsidR="006044B5" w:rsidRPr="00EE1606" w:rsidRDefault="00692093" w:rsidP="006044B5">
      <w:pPr>
        <w:jc w:val="center"/>
        <w:rPr>
          <w:b/>
          <w:sz w:val="28"/>
          <w:szCs w:val="28"/>
        </w:rPr>
      </w:pPr>
      <w:r w:rsidRPr="00EE1606">
        <w:rPr>
          <w:b/>
          <w:sz w:val="28"/>
          <w:szCs w:val="28"/>
        </w:rPr>
        <w:t>И</w:t>
      </w:r>
      <w:r w:rsidR="006044B5" w:rsidRPr="00EE1606">
        <w:rPr>
          <w:b/>
          <w:sz w:val="28"/>
          <w:szCs w:val="28"/>
        </w:rPr>
        <w:t xml:space="preserve">нструкция по медицинскому применению </w:t>
      </w:r>
    </w:p>
    <w:p w14:paraId="5E3E0BEC" w14:textId="77777777" w:rsidR="00692093" w:rsidRPr="00EE1606" w:rsidRDefault="006044B5" w:rsidP="006044B5">
      <w:pPr>
        <w:jc w:val="center"/>
        <w:rPr>
          <w:b/>
          <w:sz w:val="28"/>
          <w:szCs w:val="28"/>
        </w:rPr>
      </w:pPr>
      <w:r w:rsidRPr="00EE1606">
        <w:rPr>
          <w:b/>
          <w:sz w:val="28"/>
          <w:szCs w:val="28"/>
        </w:rPr>
        <w:t xml:space="preserve">лекарственного препарата </w:t>
      </w:r>
      <w:r w:rsidR="00692093" w:rsidRPr="00EE1606">
        <w:rPr>
          <w:b/>
          <w:sz w:val="28"/>
          <w:szCs w:val="28"/>
        </w:rPr>
        <w:t>(Листок-вкладыш)</w:t>
      </w:r>
    </w:p>
    <w:p w14:paraId="5E3E0BED" w14:textId="77777777" w:rsidR="00692093" w:rsidRPr="00EE1606" w:rsidRDefault="00692093" w:rsidP="006044B5">
      <w:pPr>
        <w:jc w:val="center"/>
        <w:rPr>
          <w:sz w:val="28"/>
          <w:szCs w:val="28"/>
        </w:rPr>
      </w:pPr>
    </w:p>
    <w:p w14:paraId="5E3E0BEE" w14:textId="77777777" w:rsidR="00692093" w:rsidRPr="00EE1606" w:rsidRDefault="00692093" w:rsidP="002835DD">
      <w:pPr>
        <w:jc w:val="both"/>
        <w:rPr>
          <w:b/>
          <w:sz w:val="28"/>
          <w:szCs w:val="28"/>
        </w:rPr>
      </w:pPr>
      <w:r w:rsidRPr="00EE1606">
        <w:rPr>
          <w:b/>
          <w:sz w:val="28"/>
          <w:szCs w:val="28"/>
        </w:rPr>
        <w:t>Т</w:t>
      </w:r>
      <w:r w:rsidR="006044B5" w:rsidRPr="00EE1606">
        <w:rPr>
          <w:b/>
          <w:sz w:val="28"/>
          <w:szCs w:val="28"/>
        </w:rPr>
        <w:t>орговое наименование</w:t>
      </w:r>
    </w:p>
    <w:p w14:paraId="5E3E0BEF" w14:textId="77777777" w:rsidR="00180EDF" w:rsidRPr="00EE1606" w:rsidRDefault="00297CE2" w:rsidP="002835DD">
      <w:pPr>
        <w:jc w:val="both"/>
        <w:rPr>
          <w:sz w:val="28"/>
          <w:szCs w:val="28"/>
        </w:rPr>
      </w:pPr>
      <w:proofErr w:type="spellStart"/>
      <w:r w:rsidRPr="00EE1606">
        <w:rPr>
          <w:sz w:val="28"/>
          <w:szCs w:val="28"/>
        </w:rPr>
        <w:t>Момат</w:t>
      </w:r>
      <w:proofErr w:type="spellEnd"/>
      <w:r w:rsidRPr="00EE1606">
        <w:rPr>
          <w:sz w:val="28"/>
          <w:szCs w:val="28"/>
        </w:rPr>
        <w:t xml:space="preserve"> Рино</w:t>
      </w:r>
    </w:p>
    <w:p w14:paraId="5E3E0BF0" w14:textId="77777777" w:rsidR="00297CE2" w:rsidRPr="00EE1606" w:rsidRDefault="00297CE2" w:rsidP="002835DD">
      <w:pPr>
        <w:jc w:val="both"/>
        <w:rPr>
          <w:sz w:val="28"/>
          <w:szCs w:val="28"/>
        </w:rPr>
      </w:pPr>
    </w:p>
    <w:p w14:paraId="5E3E0BF1" w14:textId="77777777" w:rsidR="006E64BD" w:rsidRPr="00EE1606" w:rsidRDefault="006E64BD" w:rsidP="002835DD">
      <w:pPr>
        <w:jc w:val="both"/>
        <w:rPr>
          <w:rFonts w:eastAsia="Times New Roman"/>
          <w:b/>
          <w:sz w:val="28"/>
          <w:szCs w:val="28"/>
          <w:lang w:eastAsia="ru-RU"/>
        </w:rPr>
      </w:pPr>
      <w:r w:rsidRPr="00EE1606">
        <w:rPr>
          <w:rFonts w:eastAsia="Times New Roman"/>
          <w:b/>
          <w:sz w:val="28"/>
          <w:szCs w:val="28"/>
          <w:lang w:eastAsia="ru-RU"/>
        </w:rPr>
        <w:t>Международное непатентованное название</w:t>
      </w:r>
    </w:p>
    <w:p w14:paraId="5E3E0BF2" w14:textId="77777777" w:rsidR="006E64BD" w:rsidRPr="00EE1606" w:rsidRDefault="006E64BD" w:rsidP="002835DD">
      <w:pPr>
        <w:jc w:val="both"/>
        <w:rPr>
          <w:sz w:val="28"/>
          <w:szCs w:val="28"/>
        </w:rPr>
      </w:pPr>
      <w:proofErr w:type="spellStart"/>
      <w:r w:rsidRPr="00EE1606">
        <w:rPr>
          <w:rFonts w:eastAsia="Times New Roman"/>
          <w:sz w:val="28"/>
          <w:szCs w:val="28"/>
          <w:lang w:eastAsia="ru-RU"/>
        </w:rPr>
        <w:t>Мометазон</w:t>
      </w:r>
      <w:proofErr w:type="spellEnd"/>
    </w:p>
    <w:p w14:paraId="5E3E0BF3" w14:textId="77777777" w:rsidR="006E64BD" w:rsidRPr="00EE1606" w:rsidRDefault="006E64BD" w:rsidP="002835DD">
      <w:pPr>
        <w:jc w:val="both"/>
        <w:rPr>
          <w:b/>
          <w:sz w:val="28"/>
          <w:szCs w:val="28"/>
        </w:rPr>
      </w:pPr>
    </w:p>
    <w:p w14:paraId="5E3E0BF4" w14:textId="77777777" w:rsidR="007B6D0E" w:rsidRPr="00EE1606" w:rsidRDefault="006E0BE3" w:rsidP="002835DD">
      <w:pPr>
        <w:jc w:val="both"/>
        <w:rPr>
          <w:b/>
          <w:sz w:val="28"/>
          <w:szCs w:val="28"/>
        </w:rPr>
      </w:pPr>
      <w:r w:rsidRPr="00EE1606">
        <w:rPr>
          <w:b/>
          <w:sz w:val="28"/>
          <w:szCs w:val="28"/>
        </w:rPr>
        <w:t>Лекарственная форма, дозировка</w:t>
      </w:r>
    </w:p>
    <w:p w14:paraId="5E3E0BF5" w14:textId="77777777" w:rsidR="007B6D0E" w:rsidRPr="00EE1606" w:rsidRDefault="006E64BD" w:rsidP="002835DD">
      <w:pPr>
        <w:jc w:val="both"/>
        <w:rPr>
          <w:b/>
          <w:sz w:val="28"/>
          <w:szCs w:val="28"/>
        </w:rPr>
      </w:pPr>
      <w:r w:rsidRPr="00EE1606">
        <w:rPr>
          <w:sz w:val="28"/>
          <w:szCs w:val="28"/>
          <w:lang w:val="en-US"/>
        </w:rPr>
        <w:t>C</w:t>
      </w:r>
      <w:r w:rsidR="00180EDF" w:rsidRPr="00EE1606">
        <w:rPr>
          <w:sz w:val="28"/>
          <w:szCs w:val="28"/>
          <w:lang w:val="kk-KZ"/>
        </w:rPr>
        <w:t>прей назальный дозированный</w:t>
      </w:r>
      <w:r w:rsidR="00180EDF" w:rsidRPr="00EE1606">
        <w:rPr>
          <w:sz w:val="28"/>
          <w:szCs w:val="28"/>
        </w:rPr>
        <w:t>, 50 мкг/доза</w:t>
      </w:r>
      <w:r w:rsidRPr="00EE1606">
        <w:rPr>
          <w:sz w:val="28"/>
          <w:szCs w:val="28"/>
        </w:rPr>
        <w:t>,</w:t>
      </w:r>
      <w:r w:rsidR="00180EDF" w:rsidRPr="00EE1606">
        <w:rPr>
          <w:sz w:val="28"/>
          <w:szCs w:val="28"/>
        </w:rPr>
        <w:t xml:space="preserve"> 60 доз и 120 доз</w:t>
      </w:r>
    </w:p>
    <w:p w14:paraId="5E3E0BF6" w14:textId="77777777" w:rsidR="00692093" w:rsidRPr="00EE1606" w:rsidRDefault="00D31F65" w:rsidP="002835DD">
      <w:pPr>
        <w:jc w:val="both"/>
        <w:rPr>
          <w:sz w:val="28"/>
          <w:szCs w:val="28"/>
        </w:rPr>
      </w:pPr>
      <w:r w:rsidRPr="00EE1606">
        <w:rPr>
          <w:sz w:val="28"/>
          <w:szCs w:val="28"/>
        </w:rPr>
        <w:t xml:space="preserve"> </w:t>
      </w:r>
    </w:p>
    <w:p w14:paraId="5E3E0BF7" w14:textId="77777777" w:rsidR="00692093" w:rsidRPr="00EE1606" w:rsidRDefault="00692093" w:rsidP="002835DD">
      <w:pPr>
        <w:jc w:val="both"/>
        <w:rPr>
          <w:bCs/>
          <w:sz w:val="28"/>
          <w:szCs w:val="28"/>
        </w:rPr>
      </w:pPr>
      <w:bookmarkStart w:id="0" w:name="OCRUncertain022"/>
      <w:r w:rsidRPr="00EE1606">
        <w:rPr>
          <w:b/>
          <w:bCs/>
          <w:sz w:val="28"/>
          <w:szCs w:val="28"/>
        </w:rPr>
        <w:t>Фармакотерапевтическая</w:t>
      </w:r>
      <w:bookmarkEnd w:id="0"/>
      <w:r w:rsidRPr="00EE1606">
        <w:rPr>
          <w:b/>
          <w:bCs/>
          <w:sz w:val="28"/>
          <w:szCs w:val="28"/>
        </w:rPr>
        <w:t xml:space="preserve"> группа </w:t>
      </w:r>
    </w:p>
    <w:p w14:paraId="5E3E0BF8" w14:textId="77777777" w:rsidR="00D31F65" w:rsidRPr="00EE1606" w:rsidRDefault="0038492A" w:rsidP="002835DD">
      <w:pPr>
        <w:jc w:val="both"/>
        <w:rPr>
          <w:iCs/>
          <w:sz w:val="28"/>
          <w:szCs w:val="28"/>
        </w:rPr>
      </w:pPr>
      <w:r w:rsidRPr="00EE1606">
        <w:rPr>
          <w:iCs/>
          <w:sz w:val="28"/>
          <w:szCs w:val="28"/>
        </w:rPr>
        <w:t xml:space="preserve">Дыхательная система. </w:t>
      </w:r>
      <w:r w:rsidR="0020734D" w:rsidRPr="00EE1606">
        <w:rPr>
          <w:iCs/>
          <w:sz w:val="28"/>
          <w:szCs w:val="28"/>
        </w:rPr>
        <w:t xml:space="preserve">Назальные препараты. </w:t>
      </w:r>
      <w:proofErr w:type="spellStart"/>
      <w:r w:rsidR="0020734D" w:rsidRPr="00EE1606">
        <w:rPr>
          <w:iCs/>
          <w:sz w:val="28"/>
          <w:szCs w:val="28"/>
        </w:rPr>
        <w:t>Деконгестанты</w:t>
      </w:r>
      <w:proofErr w:type="spellEnd"/>
      <w:r w:rsidR="0020734D" w:rsidRPr="00EE1606">
        <w:rPr>
          <w:iCs/>
          <w:sz w:val="28"/>
          <w:szCs w:val="28"/>
        </w:rPr>
        <w:t xml:space="preserve"> и другие назальные препараты для местного применения. </w:t>
      </w:r>
      <w:r w:rsidR="00180B19" w:rsidRPr="00EE1606">
        <w:rPr>
          <w:iCs/>
          <w:sz w:val="28"/>
          <w:szCs w:val="28"/>
        </w:rPr>
        <w:t>К</w:t>
      </w:r>
      <w:r w:rsidR="0020734D" w:rsidRPr="00EE1606">
        <w:rPr>
          <w:iCs/>
          <w:sz w:val="28"/>
          <w:szCs w:val="28"/>
        </w:rPr>
        <w:t xml:space="preserve">ортикостероиды. </w:t>
      </w:r>
      <w:proofErr w:type="spellStart"/>
      <w:r w:rsidR="0020734D" w:rsidRPr="00EE1606">
        <w:rPr>
          <w:iCs/>
          <w:sz w:val="28"/>
          <w:szCs w:val="28"/>
        </w:rPr>
        <w:t>Мометазон</w:t>
      </w:r>
      <w:proofErr w:type="spellEnd"/>
      <w:r w:rsidR="0020734D" w:rsidRPr="00EE1606">
        <w:rPr>
          <w:iCs/>
          <w:sz w:val="28"/>
          <w:szCs w:val="28"/>
        </w:rPr>
        <w:t>.</w:t>
      </w:r>
    </w:p>
    <w:p w14:paraId="5E3E0BF9" w14:textId="77777777" w:rsidR="00692093" w:rsidRPr="00EE1606" w:rsidRDefault="009E362A" w:rsidP="002835DD">
      <w:pPr>
        <w:jc w:val="both"/>
        <w:rPr>
          <w:sz w:val="28"/>
          <w:szCs w:val="28"/>
        </w:rPr>
      </w:pPr>
      <w:r w:rsidRPr="00EE1606">
        <w:rPr>
          <w:iCs/>
          <w:sz w:val="28"/>
          <w:szCs w:val="28"/>
        </w:rPr>
        <w:t>К</w:t>
      </w:r>
      <w:r w:rsidR="002C3DBF" w:rsidRPr="00EE1606">
        <w:rPr>
          <w:iCs/>
          <w:sz w:val="28"/>
          <w:szCs w:val="28"/>
        </w:rPr>
        <w:t>од AT</w:t>
      </w:r>
      <w:proofErr w:type="gramStart"/>
      <w:r w:rsidR="002C3DBF" w:rsidRPr="00EE1606">
        <w:rPr>
          <w:iCs/>
          <w:sz w:val="28"/>
          <w:szCs w:val="28"/>
        </w:rPr>
        <w:t>Х</w:t>
      </w:r>
      <w:proofErr w:type="gramEnd"/>
      <w:r w:rsidR="002C3DBF" w:rsidRPr="00EE1606">
        <w:rPr>
          <w:iCs/>
          <w:sz w:val="28"/>
          <w:szCs w:val="28"/>
        </w:rPr>
        <w:t xml:space="preserve"> </w:t>
      </w:r>
      <w:r w:rsidR="00D31F65" w:rsidRPr="00EE1606">
        <w:rPr>
          <w:iCs/>
          <w:sz w:val="28"/>
          <w:szCs w:val="28"/>
        </w:rPr>
        <w:t>R01AD09</w:t>
      </w:r>
    </w:p>
    <w:p w14:paraId="5E3E0BFA" w14:textId="77777777" w:rsidR="00692093" w:rsidRPr="00EE1606" w:rsidRDefault="00692093" w:rsidP="002835DD">
      <w:pPr>
        <w:jc w:val="both"/>
        <w:rPr>
          <w:sz w:val="28"/>
          <w:szCs w:val="28"/>
        </w:rPr>
      </w:pPr>
    </w:p>
    <w:p w14:paraId="5E3E0BFB" w14:textId="77777777" w:rsidR="00692093" w:rsidRPr="00EE1606" w:rsidRDefault="00692093" w:rsidP="002835DD">
      <w:pPr>
        <w:jc w:val="both"/>
        <w:rPr>
          <w:iCs/>
          <w:sz w:val="28"/>
          <w:szCs w:val="28"/>
        </w:rPr>
      </w:pPr>
      <w:r w:rsidRPr="00EE1606">
        <w:rPr>
          <w:b/>
          <w:bCs/>
          <w:sz w:val="28"/>
          <w:szCs w:val="28"/>
        </w:rPr>
        <w:t>Показания к применению</w:t>
      </w:r>
    </w:p>
    <w:p w14:paraId="5E3E0BFC" w14:textId="77777777" w:rsidR="00D31F65" w:rsidRPr="00EE1606" w:rsidRDefault="00D31F65" w:rsidP="002835DD">
      <w:pPr>
        <w:ind w:left="142" w:hanging="142"/>
        <w:jc w:val="both"/>
        <w:rPr>
          <w:sz w:val="28"/>
          <w:szCs w:val="28"/>
        </w:rPr>
      </w:pPr>
      <w:r w:rsidRPr="00EE1606">
        <w:rPr>
          <w:sz w:val="28"/>
          <w:szCs w:val="28"/>
        </w:rPr>
        <w:t xml:space="preserve">˗ лечение симптомов сезонного или круглогодичного аллергического ринита у взрослых и детей с 3-х лет </w:t>
      </w:r>
    </w:p>
    <w:p w14:paraId="5E3E0BFD" w14:textId="77777777" w:rsidR="00D31F65" w:rsidRPr="00EE1606" w:rsidRDefault="00D31F65" w:rsidP="002835DD">
      <w:pPr>
        <w:ind w:left="142" w:hanging="142"/>
        <w:jc w:val="both"/>
        <w:rPr>
          <w:sz w:val="28"/>
          <w:szCs w:val="28"/>
        </w:rPr>
      </w:pPr>
      <w:r w:rsidRPr="00EE1606">
        <w:rPr>
          <w:sz w:val="28"/>
          <w:szCs w:val="28"/>
        </w:rPr>
        <w:t>˗ лечение назальных полипов у взрослых пациентов старше 18 лет</w:t>
      </w:r>
    </w:p>
    <w:p w14:paraId="5E3E0BFE" w14:textId="77777777" w:rsidR="00692093" w:rsidRPr="00EE1606" w:rsidRDefault="00692093" w:rsidP="002835DD">
      <w:pPr>
        <w:jc w:val="both"/>
        <w:rPr>
          <w:sz w:val="28"/>
          <w:szCs w:val="28"/>
        </w:rPr>
      </w:pPr>
    </w:p>
    <w:p w14:paraId="5E3E0BFF" w14:textId="77777777" w:rsidR="00692093" w:rsidRPr="00EE1606" w:rsidRDefault="00692093" w:rsidP="0006003C">
      <w:pPr>
        <w:jc w:val="both"/>
        <w:rPr>
          <w:b/>
          <w:sz w:val="28"/>
          <w:szCs w:val="28"/>
        </w:rPr>
      </w:pPr>
      <w:r w:rsidRPr="00EE1606">
        <w:rPr>
          <w:b/>
          <w:sz w:val="28"/>
          <w:szCs w:val="28"/>
        </w:rPr>
        <w:t>Перечень сведений, необходимых до начала применения</w:t>
      </w:r>
    </w:p>
    <w:p w14:paraId="5E3E0C00" w14:textId="77777777" w:rsidR="00692093" w:rsidRPr="00EE1606" w:rsidRDefault="00692093" w:rsidP="0006003C">
      <w:pPr>
        <w:jc w:val="both"/>
        <w:rPr>
          <w:b/>
          <w:i/>
          <w:sz w:val="28"/>
          <w:szCs w:val="28"/>
        </w:rPr>
      </w:pPr>
      <w:r w:rsidRPr="00EE1606">
        <w:rPr>
          <w:b/>
          <w:i/>
          <w:sz w:val="28"/>
          <w:szCs w:val="28"/>
        </w:rPr>
        <w:t>Противопоказания</w:t>
      </w:r>
    </w:p>
    <w:p w14:paraId="5E3E0C01" w14:textId="77777777" w:rsidR="00D31F65" w:rsidRPr="00EE1606" w:rsidRDefault="00D31F65" w:rsidP="0006003C">
      <w:pPr>
        <w:jc w:val="both"/>
        <w:rPr>
          <w:sz w:val="28"/>
          <w:szCs w:val="28"/>
        </w:rPr>
      </w:pPr>
      <w:r w:rsidRPr="00EE1606">
        <w:rPr>
          <w:sz w:val="28"/>
          <w:szCs w:val="28"/>
        </w:rPr>
        <w:t xml:space="preserve">- гиперчувствительность к </w:t>
      </w:r>
      <w:r w:rsidR="0038492A" w:rsidRPr="00EE1606">
        <w:rPr>
          <w:sz w:val="28"/>
          <w:szCs w:val="28"/>
        </w:rPr>
        <w:t xml:space="preserve">действующему </w:t>
      </w:r>
      <w:r w:rsidRPr="00EE1606">
        <w:rPr>
          <w:sz w:val="28"/>
          <w:szCs w:val="28"/>
        </w:rPr>
        <w:t>веществу</w:t>
      </w:r>
      <w:r w:rsidR="0038492A" w:rsidRPr="00EE1606">
        <w:rPr>
          <w:sz w:val="28"/>
          <w:szCs w:val="28"/>
        </w:rPr>
        <w:t xml:space="preserve"> </w:t>
      </w:r>
      <w:r w:rsidRPr="00EE1606">
        <w:rPr>
          <w:sz w:val="28"/>
          <w:szCs w:val="28"/>
        </w:rPr>
        <w:t>или к любому из вспомогательных веществ</w:t>
      </w:r>
    </w:p>
    <w:p w14:paraId="5E3E0C02" w14:textId="77777777" w:rsidR="00D31F65" w:rsidRPr="00EE1606" w:rsidRDefault="00D31F65" w:rsidP="0006003C">
      <w:pPr>
        <w:jc w:val="both"/>
        <w:rPr>
          <w:sz w:val="28"/>
          <w:szCs w:val="28"/>
        </w:rPr>
      </w:pPr>
      <w:r w:rsidRPr="00EE1606">
        <w:rPr>
          <w:sz w:val="28"/>
          <w:szCs w:val="28"/>
        </w:rPr>
        <w:t xml:space="preserve">- наличие </w:t>
      </w:r>
      <w:proofErr w:type="spellStart"/>
      <w:r w:rsidRPr="00EE1606">
        <w:rPr>
          <w:sz w:val="28"/>
          <w:szCs w:val="28"/>
        </w:rPr>
        <w:t>недолеченной</w:t>
      </w:r>
      <w:proofErr w:type="spellEnd"/>
      <w:r w:rsidRPr="00EE1606">
        <w:rPr>
          <w:sz w:val="28"/>
          <w:szCs w:val="28"/>
        </w:rPr>
        <w:t xml:space="preserve"> локализованной инфекции с поражением слизистой оболочки носа (например, простой герпес)</w:t>
      </w:r>
    </w:p>
    <w:p w14:paraId="5E3E0C03" w14:textId="77777777" w:rsidR="00D31F65" w:rsidRPr="00EE1606" w:rsidRDefault="00D31F65" w:rsidP="0006003C">
      <w:pPr>
        <w:jc w:val="both"/>
        <w:rPr>
          <w:sz w:val="28"/>
          <w:szCs w:val="28"/>
        </w:rPr>
      </w:pPr>
      <w:r w:rsidRPr="00EE1606">
        <w:rPr>
          <w:sz w:val="28"/>
          <w:szCs w:val="28"/>
        </w:rPr>
        <w:t xml:space="preserve">- недавно перенесенные хирургические операции или травмы носовой полости (кортикостероиды замедляют заживление ран, поэтому не следует назначать кортикостероиды для местного </w:t>
      </w:r>
      <w:proofErr w:type="spellStart"/>
      <w:r w:rsidRPr="00EE1606">
        <w:rPr>
          <w:sz w:val="28"/>
          <w:szCs w:val="28"/>
        </w:rPr>
        <w:t>интраназального</w:t>
      </w:r>
      <w:proofErr w:type="spellEnd"/>
      <w:r w:rsidRPr="00EE1606">
        <w:rPr>
          <w:sz w:val="28"/>
          <w:szCs w:val="28"/>
        </w:rPr>
        <w:t xml:space="preserve"> применения до полного заживления ран)</w:t>
      </w:r>
    </w:p>
    <w:p w14:paraId="5E3E0C04" w14:textId="77777777" w:rsidR="00692093" w:rsidRPr="00EE1606" w:rsidRDefault="00692093" w:rsidP="0006003C">
      <w:pPr>
        <w:jc w:val="both"/>
        <w:rPr>
          <w:rFonts w:eastAsia="Times New Roman"/>
          <w:b/>
          <w:i/>
          <w:sz w:val="28"/>
          <w:szCs w:val="28"/>
          <w:lang w:eastAsia="ru-RU"/>
        </w:rPr>
      </w:pPr>
      <w:r w:rsidRPr="00EE1606">
        <w:rPr>
          <w:rFonts w:eastAsia="Times New Roman"/>
          <w:b/>
          <w:i/>
          <w:sz w:val="28"/>
          <w:szCs w:val="28"/>
          <w:lang w:eastAsia="ru-RU"/>
        </w:rPr>
        <w:t>Необходимые меры предосторожности при применении</w:t>
      </w:r>
    </w:p>
    <w:p w14:paraId="5E3E0C05" w14:textId="77777777" w:rsidR="00B53C43" w:rsidRPr="00EE1606" w:rsidRDefault="00B53C43" w:rsidP="0038492A">
      <w:pPr>
        <w:jc w:val="both"/>
        <w:rPr>
          <w:i/>
          <w:sz w:val="28"/>
          <w:szCs w:val="28"/>
        </w:rPr>
      </w:pPr>
      <w:r w:rsidRPr="00EE1606">
        <w:rPr>
          <w:i/>
          <w:sz w:val="28"/>
          <w:szCs w:val="28"/>
        </w:rPr>
        <w:t>Местное применение</w:t>
      </w:r>
    </w:p>
    <w:p w14:paraId="5E3E0C06" w14:textId="77777777" w:rsidR="00B53C43" w:rsidRPr="00EE1606" w:rsidRDefault="00B53C43" w:rsidP="00B53C43">
      <w:pPr>
        <w:jc w:val="both"/>
        <w:rPr>
          <w:sz w:val="28"/>
          <w:szCs w:val="28"/>
        </w:rPr>
      </w:pPr>
      <w:r w:rsidRPr="00EE1606">
        <w:rPr>
          <w:sz w:val="28"/>
          <w:szCs w:val="28"/>
        </w:rPr>
        <w:lastRenderedPageBreak/>
        <w:t xml:space="preserve">После 12-месячного лечения препаратом </w:t>
      </w:r>
      <w:proofErr w:type="spellStart"/>
      <w:r w:rsidRPr="00EE1606">
        <w:rPr>
          <w:sz w:val="28"/>
          <w:szCs w:val="28"/>
        </w:rPr>
        <w:t>Момат</w:t>
      </w:r>
      <w:proofErr w:type="spellEnd"/>
      <w:r w:rsidRPr="00EE1606">
        <w:rPr>
          <w:sz w:val="28"/>
          <w:szCs w:val="28"/>
        </w:rPr>
        <w:t xml:space="preserve"> Рино не развивалось признаков атрофии слизистой оболочки носа; кроме того, </w:t>
      </w:r>
      <w:proofErr w:type="spellStart"/>
      <w:r w:rsidRPr="00EE1606">
        <w:rPr>
          <w:sz w:val="28"/>
          <w:szCs w:val="28"/>
        </w:rPr>
        <w:t>мометазона</w:t>
      </w:r>
      <w:proofErr w:type="spellEnd"/>
      <w:r w:rsidRPr="00EE1606">
        <w:rPr>
          <w:sz w:val="28"/>
          <w:szCs w:val="28"/>
        </w:rPr>
        <w:t xml:space="preserve"> </w:t>
      </w:r>
      <w:proofErr w:type="spellStart"/>
      <w:r w:rsidRPr="00EE1606">
        <w:rPr>
          <w:sz w:val="28"/>
          <w:szCs w:val="28"/>
        </w:rPr>
        <w:t>фуроат</w:t>
      </w:r>
      <w:proofErr w:type="spellEnd"/>
      <w:r w:rsidRPr="00EE1606">
        <w:rPr>
          <w:sz w:val="28"/>
          <w:szCs w:val="28"/>
        </w:rPr>
        <w:t xml:space="preserve"> способствовал нормализации гистологической картины слизистой оболочки носа. Как и при любом другом длительном лечении, пациенты, применяющие </w:t>
      </w:r>
      <w:proofErr w:type="spellStart"/>
      <w:r w:rsidRPr="00EE1606">
        <w:rPr>
          <w:sz w:val="28"/>
          <w:szCs w:val="28"/>
        </w:rPr>
        <w:t>Момат</w:t>
      </w:r>
      <w:proofErr w:type="spellEnd"/>
      <w:r w:rsidRPr="00EE1606">
        <w:rPr>
          <w:sz w:val="28"/>
          <w:szCs w:val="28"/>
        </w:rPr>
        <w:t xml:space="preserve"> Рино в течение нескольких месяцев и дольше, должны периодически проходить осмотр на предмет обнаружения возможных изменений слизистой оболочки носа. В </w:t>
      </w:r>
      <w:proofErr w:type="gramStart"/>
      <w:r w:rsidRPr="00EE1606">
        <w:rPr>
          <w:sz w:val="28"/>
          <w:szCs w:val="28"/>
        </w:rPr>
        <w:t>случае</w:t>
      </w:r>
      <w:proofErr w:type="gramEnd"/>
      <w:r w:rsidRPr="00EE1606">
        <w:rPr>
          <w:sz w:val="28"/>
          <w:szCs w:val="28"/>
        </w:rPr>
        <w:t xml:space="preserve"> развития локальной грибковой инфекции носа или глотки может потребоваться прекратить терапию препаратом или провести соответствующее лечение. Раздражение слизистой оболочки носа и глотки, сохраняющееся в течение длительного времени, также может быть показанием к прекращению лечения препаратом </w:t>
      </w:r>
      <w:proofErr w:type="spellStart"/>
      <w:r w:rsidRPr="00EE1606">
        <w:rPr>
          <w:sz w:val="28"/>
          <w:szCs w:val="28"/>
        </w:rPr>
        <w:t>Момат</w:t>
      </w:r>
      <w:proofErr w:type="spellEnd"/>
      <w:r w:rsidRPr="00EE1606">
        <w:rPr>
          <w:sz w:val="28"/>
          <w:szCs w:val="28"/>
        </w:rPr>
        <w:t xml:space="preserve"> Рино. </w:t>
      </w:r>
    </w:p>
    <w:p w14:paraId="5E3E0C07" w14:textId="77777777" w:rsidR="00B53C43" w:rsidRPr="00EE1606" w:rsidRDefault="00B53C43" w:rsidP="00B53C43">
      <w:pPr>
        <w:jc w:val="both"/>
        <w:rPr>
          <w:sz w:val="28"/>
          <w:szCs w:val="28"/>
        </w:rPr>
      </w:pPr>
      <w:r w:rsidRPr="00EE1606">
        <w:rPr>
          <w:sz w:val="28"/>
          <w:szCs w:val="28"/>
        </w:rPr>
        <w:t xml:space="preserve">Препарат </w:t>
      </w:r>
      <w:proofErr w:type="spellStart"/>
      <w:r w:rsidRPr="00EE1606">
        <w:rPr>
          <w:sz w:val="28"/>
          <w:szCs w:val="28"/>
        </w:rPr>
        <w:t>Момат</w:t>
      </w:r>
      <w:proofErr w:type="spellEnd"/>
      <w:r w:rsidRPr="00EE1606">
        <w:rPr>
          <w:sz w:val="28"/>
          <w:szCs w:val="28"/>
        </w:rPr>
        <w:t xml:space="preserve"> Рино не рекомендован в случае перфорации носовой перегородки. Назальный спрей </w:t>
      </w:r>
      <w:proofErr w:type="spellStart"/>
      <w:r w:rsidRPr="00EE1606">
        <w:rPr>
          <w:sz w:val="28"/>
          <w:szCs w:val="28"/>
        </w:rPr>
        <w:t>Момат</w:t>
      </w:r>
      <w:proofErr w:type="spellEnd"/>
      <w:r w:rsidRPr="00EE1606">
        <w:rPr>
          <w:sz w:val="28"/>
          <w:szCs w:val="28"/>
        </w:rPr>
        <w:t xml:space="preserve"> Рино содержит </w:t>
      </w:r>
      <w:proofErr w:type="spellStart"/>
      <w:r w:rsidRPr="00EE1606">
        <w:rPr>
          <w:sz w:val="28"/>
          <w:szCs w:val="28"/>
        </w:rPr>
        <w:t>бензалкония</w:t>
      </w:r>
      <w:proofErr w:type="spellEnd"/>
      <w:r w:rsidRPr="00EE1606">
        <w:rPr>
          <w:sz w:val="28"/>
          <w:szCs w:val="28"/>
        </w:rPr>
        <w:t xml:space="preserve"> хлорид, который может вызвать раздражение слизистой оболочки носа</w:t>
      </w:r>
      <w:r w:rsidR="00EE1606" w:rsidRPr="00EE1606">
        <w:rPr>
          <w:sz w:val="28"/>
          <w:szCs w:val="28"/>
        </w:rPr>
        <w:t xml:space="preserve"> и </w:t>
      </w:r>
      <w:proofErr w:type="spellStart"/>
      <w:r w:rsidR="00EE1606" w:rsidRPr="00EE1606">
        <w:rPr>
          <w:sz w:val="28"/>
          <w:szCs w:val="28"/>
        </w:rPr>
        <w:t>бронхоспазм</w:t>
      </w:r>
      <w:proofErr w:type="spellEnd"/>
      <w:r w:rsidRPr="00EE1606">
        <w:rPr>
          <w:sz w:val="28"/>
          <w:szCs w:val="28"/>
        </w:rPr>
        <w:t xml:space="preserve">. </w:t>
      </w:r>
    </w:p>
    <w:p w14:paraId="5E3E0C08" w14:textId="77777777" w:rsidR="00692093" w:rsidRPr="00EE1606" w:rsidRDefault="00692093" w:rsidP="006044B5">
      <w:pPr>
        <w:jc w:val="both"/>
        <w:rPr>
          <w:rFonts w:eastAsia="Times New Roman"/>
          <w:b/>
          <w:i/>
          <w:sz w:val="28"/>
          <w:szCs w:val="28"/>
          <w:lang w:eastAsia="ru-RU"/>
        </w:rPr>
      </w:pPr>
      <w:r w:rsidRPr="00EE1606">
        <w:rPr>
          <w:rFonts w:eastAsia="Times New Roman"/>
          <w:b/>
          <w:i/>
          <w:sz w:val="28"/>
          <w:szCs w:val="28"/>
          <w:lang w:eastAsia="ru-RU"/>
        </w:rPr>
        <w:t>Взаимодействия с другими лекарственными препаратами</w:t>
      </w:r>
    </w:p>
    <w:p w14:paraId="5E3E0C09" w14:textId="77777777" w:rsidR="002C22EF" w:rsidRPr="00EE1606" w:rsidRDefault="002C22EF" w:rsidP="0038492A">
      <w:pPr>
        <w:jc w:val="both"/>
        <w:rPr>
          <w:rFonts w:eastAsia="Times New Roman"/>
          <w:sz w:val="28"/>
          <w:szCs w:val="28"/>
          <w:lang w:eastAsia="ru-RU"/>
        </w:rPr>
      </w:pPr>
      <w:r w:rsidRPr="00EE1606">
        <w:rPr>
          <w:rFonts w:eastAsia="Times New Roman"/>
          <w:sz w:val="28"/>
          <w:szCs w:val="28"/>
          <w:lang w:val="kk-KZ" w:eastAsia="ru-RU"/>
        </w:rPr>
        <w:t xml:space="preserve">Совместное применениие с сильными ингибиторами CYP3A4, </w:t>
      </w:r>
      <w:r w:rsidRPr="00EE1606">
        <w:rPr>
          <w:rFonts w:eastAsia="Times New Roman"/>
          <w:sz w:val="28"/>
          <w:szCs w:val="28"/>
          <w:lang w:eastAsia="ru-RU"/>
        </w:rPr>
        <w:t xml:space="preserve">включая </w:t>
      </w:r>
      <w:r w:rsidRPr="00EE1606">
        <w:rPr>
          <w:rFonts w:eastAsia="Times New Roman"/>
          <w:sz w:val="28"/>
          <w:szCs w:val="28"/>
          <w:lang w:val="kk-KZ" w:eastAsia="ru-RU"/>
        </w:rPr>
        <w:t xml:space="preserve">препараты, содержащие кобицистат, может привести к увеличению экспозиции кортикостероидов и, следовательно, к потенциальному увеличению риска системных побочных эффектов кортикостероидов. </w:t>
      </w:r>
      <w:r w:rsidRPr="00EE1606">
        <w:rPr>
          <w:rFonts w:eastAsia="Times New Roman"/>
          <w:sz w:val="28"/>
          <w:szCs w:val="28"/>
          <w:lang w:eastAsia="ru-RU"/>
        </w:rPr>
        <w:t xml:space="preserve">Следует рассмотреть вопрос о преимуществах одновременного применения препаратов и потенциальных рисках развития системных побочных эффектов кортикостероидов. </w:t>
      </w:r>
    </w:p>
    <w:p w14:paraId="5E3E0C0A" w14:textId="77777777" w:rsidR="002C22EF" w:rsidRPr="00EE1606" w:rsidRDefault="002C22EF">
      <w:pPr>
        <w:jc w:val="both"/>
        <w:rPr>
          <w:rFonts w:eastAsia="Times New Roman"/>
          <w:sz w:val="28"/>
          <w:szCs w:val="28"/>
          <w:lang w:eastAsia="ru-RU"/>
        </w:rPr>
      </w:pPr>
      <w:r w:rsidRPr="00EE1606">
        <w:rPr>
          <w:rFonts w:eastAsia="Times New Roman"/>
          <w:sz w:val="28"/>
          <w:szCs w:val="28"/>
          <w:lang w:eastAsia="ru-RU"/>
        </w:rPr>
        <w:t xml:space="preserve">При назначении </w:t>
      </w:r>
      <w:proofErr w:type="spellStart"/>
      <w:r w:rsidRPr="00EE1606">
        <w:rPr>
          <w:rFonts w:eastAsia="Times New Roman"/>
          <w:sz w:val="28"/>
          <w:szCs w:val="28"/>
          <w:lang w:eastAsia="ru-RU"/>
        </w:rPr>
        <w:t>Момат</w:t>
      </w:r>
      <w:proofErr w:type="spellEnd"/>
      <w:r w:rsidRPr="00EE1606">
        <w:rPr>
          <w:rFonts w:eastAsia="Times New Roman"/>
          <w:sz w:val="28"/>
          <w:szCs w:val="28"/>
          <w:lang w:eastAsia="ru-RU"/>
        </w:rPr>
        <w:t xml:space="preserve"> Рино,</w:t>
      </w:r>
      <w:r w:rsidR="0038492A" w:rsidRPr="00EE1606">
        <w:rPr>
          <w:rFonts w:eastAsia="Times New Roman"/>
          <w:sz w:val="28"/>
          <w:szCs w:val="28"/>
          <w:lang w:eastAsia="ru-RU"/>
        </w:rPr>
        <w:t xml:space="preserve"> </w:t>
      </w:r>
      <w:r w:rsidRPr="00EE1606">
        <w:rPr>
          <w:rFonts w:eastAsia="Times New Roman"/>
          <w:sz w:val="28"/>
          <w:szCs w:val="28"/>
          <w:lang w:eastAsia="ru-RU"/>
        </w:rPr>
        <w:t xml:space="preserve">назального </w:t>
      </w:r>
      <w:proofErr w:type="spellStart"/>
      <w:r w:rsidRPr="00EE1606">
        <w:rPr>
          <w:rFonts w:eastAsia="Times New Roman"/>
          <w:sz w:val="28"/>
          <w:szCs w:val="28"/>
          <w:lang w:val="uk-UA" w:eastAsia="ru-RU"/>
        </w:rPr>
        <w:t>спрея</w:t>
      </w:r>
      <w:proofErr w:type="spellEnd"/>
      <w:r w:rsidR="002835DD" w:rsidRPr="00EE1606">
        <w:rPr>
          <w:rFonts w:eastAsia="Times New Roman"/>
          <w:sz w:val="28"/>
          <w:szCs w:val="28"/>
          <w:lang w:val="uk-UA" w:eastAsia="ru-RU"/>
        </w:rPr>
        <w:t>,</w:t>
      </w:r>
      <w:r w:rsidR="002835DD" w:rsidRPr="00EE1606">
        <w:rPr>
          <w:rFonts w:eastAsia="Times New Roman"/>
          <w:sz w:val="28"/>
          <w:szCs w:val="28"/>
          <w:lang w:eastAsia="ru-RU"/>
        </w:rPr>
        <w:t xml:space="preserve"> </w:t>
      </w:r>
      <w:r w:rsidRPr="00EE1606">
        <w:rPr>
          <w:rFonts w:eastAsia="Times New Roman"/>
          <w:sz w:val="28"/>
          <w:szCs w:val="28"/>
          <w:lang w:eastAsia="ru-RU"/>
        </w:rPr>
        <w:t xml:space="preserve">одновременно с </w:t>
      </w:r>
      <w:proofErr w:type="spellStart"/>
      <w:r w:rsidRPr="00EE1606">
        <w:rPr>
          <w:rFonts w:eastAsia="Times New Roman"/>
          <w:sz w:val="28"/>
          <w:szCs w:val="28"/>
          <w:lang w:val="uk-UA" w:eastAsia="ru-RU"/>
        </w:rPr>
        <w:t>лоратадином</w:t>
      </w:r>
      <w:proofErr w:type="spellEnd"/>
      <w:r w:rsidRPr="00EE1606">
        <w:rPr>
          <w:rFonts w:eastAsia="Times New Roman"/>
          <w:sz w:val="28"/>
          <w:szCs w:val="28"/>
          <w:lang w:eastAsia="ru-RU"/>
        </w:rPr>
        <w:t xml:space="preserve"> не отмечалось изменений плазменной концентрации </w:t>
      </w:r>
      <w:proofErr w:type="spellStart"/>
      <w:r w:rsidRPr="00EE1606">
        <w:rPr>
          <w:rFonts w:eastAsia="Times New Roman"/>
          <w:sz w:val="28"/>
          <w:szCs w:val="28"/>
          <w:lang w:val="uk-UA" w:eastAsia="ru-RU"/>
        </w:rPr>
        <w:t>лоратадина</w:t>
      </w:r>
      <w:proofErr w:type="spellEnd"/>
      <w:r w:rsidRPr="00EE1606">
        <w:rPr>
          <w:rFonts w:eastAsia="Times New Roman"/>
          <w:sz w:val="28"/>
          <w:szCs w:val="28"/>
          <w:lang w:eastAsia="ru-RU"/>
        </w:rPr>
        <w:t xml:space="preserve"> или его основного </w:t>
      </w:r>
      <w:proofErr w:type="spellStart"/>
      <w:r w:rsidRPr="00EE1606">
        <w:rPr>
          <w:rFonts w:eastAsia="Times New Roman"/>
          <w:sz w:val="28"/>
          <w:szCs w:val="28"/>
          <w:lang w:val="uk-UA" w:eastAsia="ru-RU"/>
        </w:rPr>
        <w:t>метаболита</w:t>
      </w:r>
      <w:proofErr w:type="spellEnd"/>
      <w:r w:rsidRPr="00EE1606">
        <w:rPr>
          <w:rFonts w:eastAsia="Times New Roman"/>
          <w:sz w:val="28"/>
          <w:szCs w:val="28"/>
          <w:lang w:eastAsia="ru-RU"/>
        </w:rPr>
        <w:t xml:space="preserve">. </w:t>
      </w:r>
      <w:proofErr w:type="spellStart"/>
      <w:r w:rsidRPr="00EE1606">
        <w:rPr>
          <w:rFonts w:eastAsia="Times New Roman"/>
          <w:sz w:val="28"/>
          <w:szCs w:val="28"/>
          <w:lang w:eastAsia="ru-RU"/>
        </w:rPr>
        <w:t>Мометазона</w:t>
      </w:r>
      <w:proofErr w:type="spellEnd"/>
      <w:r w:rsidRPr="00EE1606">
        <w:rPr>
          <w:rFonts w:eastAsia="Times New Roman"/>
          <w:sz w:val="28"/>
          <w:szCs w:val="28"/>
          <w:lang w:eastAsia="ru-RU"/>
        </w:rPr>
        <w:t xml:space="preserve"> </w:t>
      </w:r>
      <w:proofErr w:type="spellStart"/>
      <w:r w:rsidRPr="00EE1606">
        <w:rPr>
          <w:rFonts w:eastAsia="Times New Roman"/>
          <w:sz w:val="28"/>
          <w:szCs w:val="28"/>
          <w:lang w:eastAsia="ru-RU"/>
        </w:rPr>
        <w:t>фуроат</w:t>
      </w:r>
      <w:proofErr w:type="spellEnd"/>
      <w:r w:rsidRPr="00EE1606">
        <w:rPr>
          <w:rFonts w:eastAsia="Times New Roman"/>
          <w:sz w:val="28"/>
          <w:szCs w:val="28"/>
          <w:lang w:eastAsia="ru-RU"/>
        </w:rPr>
        <w:t xml:space="preserve"> не определялся в плазме крови с использованием чувствительного метода определения с более низким порогом чувствительности 50 </w:t>
      </w:r>
      <w:proofErr w:type="spellStart"/>
      <w:r w:rsidRPr="00EE1606">
        <w:rPr>
          <w:rFonts w:eastAsia="Times New Roman"/>
          <w:sz w:val="28"/>
          <w:szCs w:val="28"/>
          <w:lang w:eastAsia="ru-RU"/>
        </w:rPr>
        <w:t>пг</w:t>
      </w:r>
      <w:proofErr w:type="spellEnd"/>
      <w:r w:rsidRPr="00EE1606">
        <w:rPr>
          <w:rFonts w:eastAsia="Times New Roman"/>
          <w:sz w:val="28"/>
          <w:szCs w:val="28"/>
          <w:lang w:eastAsia="ru-RU"/>
        </w:rPr>
        <w:t xml:space="preserve">/мл. Комбинированная терапия этими препаратами </w:t>
      </w:r>
      <w:r w:rsidR="00565E32" w:rsidRPr="00EE1606">
        <w:rPr>
          <w:sz w:val="28"/>
          <w:szCs w:val="28"/>
        </w:rPr>
        <w:t xml:space="preserve">пациентами </w:t>
      </w:r>
      <w:r w:rsidRPr="00EE1606">
        <w:rPr>
          <w:rFonts w:eastAsia="Times New Roman"/>
          <w:sz w:val="28"/>
          <w:szCs w:val="28"/>
          <w:lang w:eastAsia="ru-RU"/>
        </w:rPr>
        <w:t xml:space="preserve">переносилась хорошо. </w:t>
      </w:r>
    </w:p>
    <w:p w14:paraId="5E3E0C0B" w14:textId="77777777" w:rsidR="00692093" w:rsidRPr="00EE1606" w:rsidRDefault="00692093" w:rsidP="0006003C">
      <w:pPr>
        <w:jc w:val="both"/>
        <w:rPr>
          <w:b/>
          <w:i/>
          <w:sz w:val="28"/>
          <w:szCs w:val="28"/>
        </w:rPr>
      </w:pPr>
      <w:r w:rsidRPr="00EE1606">
        <w:rPr>
          <w:b/>
          <w:i/>
          <w:sz w:val="28"/>
          <w:szCs w:val="28"/>
        </w:rPr>
        <w:t>Специальные предупреждения</w:t>
      </w:r>
    </w:p>
    <w:p w14:paraId="5E3E0C0C" w14:textId="77777777" w:rsidR="002C22EF" w:rsidRPr="00EE1606" w:rsidRDefault="002C22EF" w:rsidP="0038492A">
      <w:pPr>
        <w:tabs>
          <w:tab w:val="left" w:pos="9356"/>
        </w:tabs>
        <w:ind w:right="28"/>
        <w:jc w:val="both"/>
        <w:rPr>
          <w:i/>
          <w:sz w:val="28"/>
          <w:szCs w:val="28"/>
        </w:rPr>
      </w:pPr>
      <w:proofErr w:type="spellStart"/>
      <w:r w:rsidRPr="00EE1606">
        <w:rPr>
          <w:bCs/>
          <w:i/>
          <w:sz w:val="28"/>
          <w:szCs w:val="28"/>
        </w:rPr>
        <w:t>Иммуносупрессия</w:t>
      </w:r>
      <w:proofErr w:type="spellEnd"/>
    </w:p>
    <w:p w14:paraId="5E3E0C0D" w14:textId="77777777" w:rsidR="002C22EF" w:rsidRPr="00EE1606" w:rsidRDefault="002C22EF">
      <w:pPr>
        <w:tabs>
          <w:tab w:val="left" w:pos="9356"/>
        </w:tabs>
        <w:ind w:right="28"/>
        <w:jc w:val="both"/>
        <w:rPr>
          <w:sz w:val="28"/>
          <w:szCs w:val="28"/>
        </w:rPr>
      </w:pPr>
      <w:proofErr w:type="spellStart"/>
      <w:r w:rsidRPr="00EE1606">
        <w:rPr>
          <w:sz w:val="28"/>
          <w:szCs w:val="28"/>
        </w:rPr>
        <w:t>Момат</w:t>
      </w:r>
      <w:proofErr w:type="spellEnd"/>
      <w:r w:rsidRPr="00EE1606">
        <w:rPr>
          <w:sz w:val="28"/>
          <w:szCs w:val="28"/>
        </w:rPr>
        <w:t xml:space="preserve"> Рино следует применять с осторожностью или не применять совсем у </w:t>
      </w:r>
      <w:r w:rsidR="00565E32" w:rsidRPr="00EE1606">
        <w:rPr>
          <w:sz w:val="28"/>
          <w:szCs w:val="28"/>
        </w:rPr>
        <w:t xml:space="preserve">пациентов </w:t>
      </w:r>
      <w:r w:rsidRPr="00EE1606">
        <w:rPr>
          <w:sz w:val="28"/>
          <w:szCs w:val="28"/>
        </w:rPr>
        <w:t xml:space="preserve">с активной или латентной туберкулезной инфекцией респираторного тракта, а также при нелеченой грибковой, бактериальной инфекции, системной вирусной инфекции или при инфекции </w:t>
      </w:r>
      <w:proofErr w:type="spellStart"/>
      <w:r w:rsidRPr="00EE1606">
        <w:rPr>
          <w:sz w:val="28"/>
          <w:szCs w:val="28"/>
        </w:rPr>
        <w:t>herpes</w:t>
      </w:r>
      <w:proofErr w:type="spellEnd"/>
      <w:r w:rsidRPr="00EE1606">
        <w:rPr>
          <w:sz w:val="28"/>
          <w:szCs w:val="28"/>
        </w:rPr>
        <w:t xml:space="preserve"> </w:t>
      </w:r>
      <w:proofErr w:type="spellStart"/>
      <w:r w:rsidRPr="00EE1606">
        <w:rPr>
          <w:sz w:val="28"/>
          <w:szCs w:val="28"/>
        </w:rPr>
        <w:t>simplex</w:t>
      </w:r>
      <w:proofErr w:type="spellEnd"/>
      <w:r w:rsidRPr="00EE1606">
        <w:rPr>
          <w:sz w:val="28"/>
          <w:szCs w:val="28"/>
        </w:rPr>
        <w:t xml:space="preserve"> с поражением глаз.</w:t>
      </w:r>
    </w:p>
    <w:p w14:paraId="5E3E0C0E" w14:textId="77777777" w:rsidR="002C22EF" w:rsidRPr="00EE1606" w:rsidRDefault="002C22EF">
      <w:pPr>
        <w:tabs>
          <w:tab w:val="left" w:pos="9356"/>
        </w:tabs>
        <w:ind w:right="28"/>
        <w:jc w:val="both"/>
        <w:rPr>
          <w:sz w:val="28"/>
          <w:szCs w:val="28"/>
        </w:rPr>
      </w:pPr>
      <w:r w:rsidRPr="00EE1606">
        <w:rPr>
          <w:sz w:val="28"/>
          <w:szCs w:val="28"/>
        </w:rPr>
        <w:t xml:space="preserve">Пациенты, применяющие кортикостероиды, потенциально могут иметь сниженную иммунную реактивность и должны быть предупреждены о повышенном риске заражения в случае контакта с </w:t>
      </w:r>
      <w:r w:rsidR="00565E32" w:rsidRPr="00EE1606">
        <w:rPr>
          <w:sz w:val="28"/>
          <w:szCs w:val="28"/>
        </w:rPr>
        <w:t xml:space="preserve">пациентами </w:t>
      </w:r>
      <w:r w:rsidRPr="00EE1606">
        <w:rPr>
          <w:sz w:val="28"/>
          <w:szCs w:val="28"/>
        </w:rPr>
        <w:t>некоторыми инфекционными заболеваниями (например, ветряная оспа, корь), а также о необходимости консультации врача, если такой контакт произошел.</w:t>
      </w:r>
    </w:p>
    <w:p w14:paraId="5E3E0C0F" w14:textId="77777777" w:rsidR="00136CE6" w:rsidRPr="00EE1606" w:rsidRDefault="00136CE6" w:rsidP="00136CE6">
      <w:pPr>
        <w:tabs>
          <w:tab w:val="left" w:pos="9356"/>
        </w:tabs>
        <w:ind w:right="28"/>
        <w:jc w:val="both"/>
        <w:rPr>
          <w:i/>
          <w:sz w:val="28"/>
          <w:szCs w:val="28"/>
          <w:u w:val="single"/>
        </w:rPr>
      </w:pPr>
      <w:r w:rsidRPr="00EE1606">
        <w:rPr>
          <w:i/>
          <w:sz w:val="28"/>
          <w:szCs w:val="28"/>
          <w:u w:val="single"/>
        </w:rPr>
        <w:t xml:space="preserve">Системные эффекты кортикостероидов </w:t>
      </w:r>
    </w:p>
    <w:p w14:paraId="5E3E0C10" w14:textId="77777777" w:rsidR="00136CE6" w:rsidRPr="00EE1606" w:rsidRDefault="00136CE6" w:rsidP="00136CE6">
      <w:pPr>
        <w:tabs>
          <w:tab w:val="left" w:pos="9356"/>
        </w:tabs>
        <w:ind w:right="28"/>
        <w:jc w:val="both"/>
        <w:rPr>
          <w:sz w:val="28"/>
          <w:szCs w:val="28"/>
        </w:rPr>
      </w:pPr>
      <w:r w:rsidRPr="00EE1606">
        <w:rPr>
          <w:sz w:val="28"/>
          <w:szCs w:val="28"/>
        </w:rPr>
        <w:lastRenderedPageBreak/>
        <w:t xml:space="preserve">Системное действие назальных кортикостероидов проявляется, как правило, при назначении высоких доз в течение длительных периодов. Подобное действие менее выражено, чем при применении пероральных кортикостероидов и варьирует у разных пациентов при применении разных лекарственных препаратов. Системное действие кортикостероидов проявляется в виде синдрома </w:t>
      </w:r>
      <w:proofErr w:type="spellStart"/>
      <w:r w:rsidRPr="00EE1606">
        <w:rPr>
          <w:sz w:val="28"/>
          <w:szCs w:val="28"/>
        </w:rPr>
        <w:t>Кушинга</w:t>
      </w:r>
      <w:proofErr w:type="spellEnd"/>
      <w:r w:rsidRPr="00EE1606">
        <w:rPr>
          <w:sz w:val="28"/>
          <w:szCs w:val="28"/>
        </w:rPr>
        <w:t xml:space="preserve">, </w:t>
      </w:r>
      <w:proofErr w:type="spellStart"/>
      <w:r w:rsidRPr="00EE1606">
        <w:rPr>
          <w:sz w:val="28"/>
          <w:szCs w:val="28"/>
        </w:rPr>
        <w:t>кушингоидных</w:t>
      </w:r>
      <w:proofErr w:type="spellEnd"/>
      <w:r w:rsidRPr="00EE1606">
        <w:rPr>
          <w:sz w:val="28"/>
          <w:szCs w:val="28"/>
        </w:rPr>
        <w:t xml:space="preserve"> симптомов, подавлении функции надпочечников, задержки роста у детей и подростков, катаракты, глаукомы и реже, психологических или поведенческих изменений, включая психомоторную гиперреактивность, нарушения сна, беспокойство, депрессию или агрессию (особенно у детей). </w:t>
      </w:r>
    </w:p>
    <w:p w14:paraId="5E3E0C11" w14:textId="77777777" w:rsidR="00136CE6" w:rsidRPr="00EE1606" w:rsidRDefault="00136CE6" w:rsidP="00136CE6">
      <w:pPr>
        <w:tabs>
          <w:tab w:val="left" w:pos="9356"/>
        </w:tabs>
        <w:ind w:right="28"/>
        <w:jc w:val="both"/>
        <w:rPr>
          <w:sz w:val="28"/>
          <w:szCs w:val="28"/>
        </w:rPr>
      </w:pPr>
      <w:r w:rsidRPr="00EE1606">
        <w:rPr>
          <w:sz w:val="28"/>
          <w:szCs w:val="28"/>
        </w:rPr>
        <w:t xml:space="preserve">Имеются отдельные сообщения о повышении внутриглазного давления после использования </w:t>
      </w:r>
      <w:proofErr w:type="spellStart"/>
      <w:r w:rsidRPr="00EE1606">
        <w:rPr>
          <w:sz w:val="28"/>
          <w:szCs w:val="28"/>
        </w:rPr>
        <w:t>интраназальных</w:t>
      </w:r>
      <w:proofErr w:type="spellEnd"/>
      <w:r w:rsidRPr="00EE1606">
        <w:rPr>
          <w:sz w:val="28"/>
          <w:szCs w:val="28"/>
        </w:rPr>
        <w:t xml:space="preserve"> кортикостероидов.</w:t>
      </w:r>
    </w:p>
    <w:p w14:paraId="5E3E0C12" w14:textId="77777777" w:rsidR="00136CE6" w:rsidRPr="00EE1606" w:rsidRDefault="00136CE6" w:rsidP="00136CE6">
      <w:pPr>
        <w:tabs>
          <w:tab w:val="left" w:pos="9356"/>
        </w:tabs>
        <w:ind w:right="28"/>
        <w:jc w:val="both"/>
        <w:rPr>
          <w:sz w:val="28"/>
          <w:szCs w:val="28"/>
        </w:rPr>
      </w:pPr>
      <w:r w:rsidRPr="00EE1606">
        <w:rPr>
          <w:sz w:val="28"/>
          <w:szCs w:val="28"/>
        </w:rPr>
        <w:t xml:space="preserve">Необходимо тщательное врачебное наблюдение за пациентами, переходящими на лечение назальным спреем </w:t>
      </w:r>
      <w:proofErr w:type="spellStart"/>
      <w:r w:rsidRPr="00EE1606">
        <w:rPr>
          <w:sz w:val="28"/>
          <w:szCs w:val="28"/>
        </w:rPr>
        <w:t>Момат</w:t>
      </w:r>
      <w:proofErr w:type="spellEnd"/>
      <w:r w:rsidRPr="00EE1606">
        <w:rPr>
          <w:sz w:val="28"/>
          <w:szCs w:val="28"/>
        </w:rPr>
        <w:t xml:space="preserve"> Рино после длительной терапии кортикостероидами системного действия. </w:t>
      </w:r>
    </w:p>
    <w:p w14:paraId="5E3E0C13" w14:textId="77777777" w:rsidR="00136CE6" w:rsidRPr="00EE1606" w:rsidRDefault="00136CE6" w:rsidP="00136CE6">
      <w:pPr>
        <w:tabs>
          <w:tab w:val="left" w:pos="9356"/>
        </w:tabs>
        <w:ind w:right="28"/>
        <w:jc w:val="both"/>
        <w:rPr>
          <w:sz w:val="28"/>
          <w:szCs w:val="28"/>
        </w:rPr>
      </w:pPr>
      <w:r w:rsidRPr="00EE1606">
        <w:rPr>
          <w:sz w:val="28"/>
          <w:szCs w:val="28"/>
        </w:rPr>
        <w:t xml:space="preserve">Прекращение приема кортикостероидов системного действия у таких </w:t>
      </w:r>
      <w:r w:rsidR="00565E32" w:rsidRPr="00EE1606">
        <w:rPr>
          <w:sz w:val="28"/>
          <w:szCs w:val="28"/>
        </w:rPr>
        <w:t xml:space="preserve">пациентов </w:t>
      </w:r>
      <w:r w:rsidRPr="00EE1606">
        <w:rPr>
          <w:sz w:val="28"/>
          <w:szCs w:val="28"/>
        </w:rPr>
        <w:t xml:space="preserve">может привести к недостаточности функции коры надпочечников в течение нескольких месяцев, что может потребовать возобновления терапии системными кортикостероидами и применения другого соответствующего лечения. Во время перехода от лечения кортикостероидами системного действия к лечению препаратом </w:t>
      </w:r>
      <w:proofErr w:type="spellStart"/>
      <w:r w:rsidRPr="00EE1606">
        <w:rPr>
          <w:sz w:val="28"/>
          <w:szCs w:val="28"/>
        </w:rPr>
        <w:t>Момат</w:t>
      </w:r>
      <w:proofErr w:type="spellEnd"/>
      <w:r w:rsidRPr="00EE1606">
        <w:rPr>
          <w:sz w:val="28"/>
          <w:szCs w:val="28"/>
        </w:rPr>
        <w:t xml:space="preserve"> Рино у некоторых </w:t>
      </w:r>
      <w:r w:rsidR="00565E32" w:rsidRPr="00EE1606">
        <w:rPr>
          <w:sz w:val="28"/>
          <w:szCs w:val="28"/>
        </w:rPr>
        <w:t>пациентов</w:t>
      </w:r>
      <w:r w:rsidRPr="00EE1606">
        <w:rPr>
          <w:sz w:val="28"/>
          <w:szCs w:val="28"/>
        </w:rPr>
        <w:t>, наряду с облегчением носовых симптомов, могут возникнуть симптомы отмены кортикостероидов (например, боль в суставах и/или мышцах, чувство усталости и депрессия). Смена терапии может также выявить аллергические заболевания (такие как аллергический конъюнктивит, экзема и т.д.), которые развились ранее и маскировались терапией кортикостероидами системного действия.</w:t>
      </w:r>
    </w:p>
    <w:p w14:paraId="5E3E0C14" w14:textId="77777777" w:rsidR="00136CE6" w:rsidRPr="00EE1606" w:rsidRDefault="00136CE6" w:rsidP="00136CE6">
      <w:pPr>
        <w:tabs>
          <w:tab w:val="left" w:pos="9356"/>
        </w:tabs>
        <w:ind w:right="28"/>
        <w:jc w:val="both"/>
        <w:rPr>
          <w:sz w:val="28"/>
          <w:szCs w:val="28"/>
        </w:rPr>
      </w:pPr>
      <w:r w:rsidRPr="00EE1606">
        <w:rPr>
          <w:sz w:val="28"/>
          <w:szCs w:val="28"/>
        </w:rPr>
        <w:t>Лечение с применением высоких доз, может привести к клинически выраженному подавлению функции надпочечников. При наличии показаний для применения более высоких дозировок, особенно в периоды стресса или при плановом хирургическом вмешательстве, следует рассмотреть возможность комбинирования с другими системными кортикостероидами.</w:t>
      </w:r>
    </w:p>
    <w:p w14:paraId="5E3E0C15" w14:textId="77777777" w:rsidR="00136CE6" w:rsidRPr="00EE1606" w:rsidRDefault="00136CE6" w:rsidP="00136CE6">
      <w:pPr>
        <w:tabs>
          <w:tab w:val="left" w:pos="9356"/>
        </w:tabs>
        <w:ind w:right="28"/>
        <w:jc w:val="both"/>
        <w:rPr>
          <w:i/>
          <w:sz w:val="28"/>
          <w:szCs w:val="28"/>
        </w:rPr>
      </w:pPr>
      <w:proofErr w:type="spellStart"/>
      <w:r w:rsidRPr="00EE1606">
        <w:rPr>
          <w:i/>
          <w:sz w:val="28"/>
          <w:szCs w:val="28"/>
        </w:rPr>
        <w:t>Полипоз</w:t>
      </w:r>
      <w:proofErr w:type="spellEnd"/>
      <w:r w:rsidRPr="00EE1606">
        <w:rPr>
          <w:i/>
          <w:sz w:val="28"/>
          <w:szCs w:val="28"/>
        </w:rPr>
        <w:t xml:space="preserve"> носа</w:t>
      </w:r>
    </w:p>
    <w:p w14:paraId="5E3E0C16" w14:textId="77777777" w:rsidR="00136CE6" w:rsidRPr="00EE1606" w:rsidRDefault="00136CE6" w:rsidP="00136CE6">
      <w:pPr>
        <w:tabs>
          <w:tab w:val="left" w:pos="9356"/>
        </w:tabs>
        <w:ind w:right="28"/>
        <w:jc w:val="both"/>
        <w:rPr>
          <w:sz w:val="28"/>
          <w:szCs w:val="28"/>
        </w:rPr>
      </w:pPr>
      <w:r w:rsidRPr="00EE1606">
        <w:rPr>
          <w:sz w:val="28"/>
          <w:szCs w:val="28"/>
        </w:rPr>
        <w:t xml:space="preserve">В настоящее время безопасность и эффективность препарата </w:t>
      </w:r>
      <w:proofErr w:type="spellStart"/>
      <w:r w:rsidRPr="00EE1606">
        <w:rPr>
          <w:sz w:val="28"/>
          <w:szCs w:val="28"/>
        </w:rPr>
        <w:t>Момат</w:t>
      </w:r>
      <w:proofErr w:type="spellEnd"/>
      <w:r w:rsidRPr="00EE1606">
        <w:rPr>
          <w:sz w:val="28"/>
          <w:szCs w:val="28"/>
        </w:rPr>
        <w:t xml:space="preserve"> Рино при лечении односторонних полипов, полипов, связанных с кистозным фиброзом, или полипов, полностью заполняющих носовую полость, не достаточно </w:t>
      </w:r>
      <w:proofErr w:type="gramStart"/>
      <w:r w:rsidRPr="00EE1606">
        <w:rPr>
          <w:sz w:val="28"/>
          <w:szCs w:val="28"/>
        </w:rPr>
        <w:t>изучены</w:t>
      </w:r>
      <w:proofErr w:type="gramEnd"/>
      <w:r w:rsidRPr="00EE1606">
        <w:rPr>
          <w:sz w:val="28"/>
          <w:szCs w:val="28"/>
        </w:rPr>
        <w:t xml:space="preserve">. </w:t>
      </w:r>
    </w:p>
    <w:p w14:paraId="5E3E0C17" w14:textId="77777777" w:rsidR="00136CE6" w:rsidRPr="00EE1606" w:rsidRDefault="00136CE6" w:rsidP="00136CE6">
      <w:pPr>
        <w:tabs>
          <w:tab w:val="left" w:pos="9356"/>
        </w:tabs>
        <w:ind w:right="28"/>
        <w:jc w:val="both"/>
        <w:rPr>
          <w:sz w:val="28"/>
          <w:szCs w:val="28"/>
        </w:rPr>
      </w:pPr>
      <w:r w:rsidRPr="00EE1606">
        <w:rPr>
          <w:sz w:val="28"/>
          <w:szCs w:val="28"/>
        </w:rPr>
        <w:t xml:space="preserve">При наличии односторонних полипов, имеющих необычный или измененный внешний вид, особенно при наличии изъязвлений или кровотечений, следует проводить дополнительные методы диагностики. </w:t>
      </w:r>
    </w:p>
    <w:p w14:paraId="5E3E0C18" w14:textId="77777777" w:rsidR="00837435" w:rsidRPr="00EE1606" w:rsidRDefault="00837435" w:rsidP="00136CE6">
      <w:pPr>
        <w:tabs>
          <w:tab w:val="left" w:pos="9356"/>
        </w:tabs>
        <w:ind w:right="28"/>
        <w:jc w:val="both"/>
        <w:rPr>
          <w:i/>
          <w:sz w:val="28"/>
          <w:szCs w:val="28"/>
        </w:rPr>
      </w:pPr>
      <w:r w:rsidRPr="00EE1606">
        <w:rPr>
          <w:i/>
          <w:sz w:val="28"/>
          <w:szCs w:val="28"/>
        </w:rPr>
        <w:t>Нарушение зрения</w:t>
      </w:r>
    </w:p>
    <w:p w14:paraId="5E3E0C19" w14:textId="77777777" w:rsidR="00136CE6" w:rsidRPr="00EE1606" w:rsidRDefault="00530B90" w:rsidP="00136CE6">
      <w:pPr>
        <w:tabs>
          <w:tab w:val="left" w:pos="9356"/>
        </w:tabs>
        <w:ind w:right="28"/>
        <w:jc w:val="both"/>
        <w:rPr>
          <w:sz w:val="28"/>
          <w:szCs w:val="28"/>
        </w:rPr>
      </w:pPr>
      <w:r w:rsidRPr="00EE1606">
        <w:rPr>
          <w:sz w:val="28"/>
          <w:szCs w:val="28"/>
        </w:rPr>
        <w:t xml:space="preserve">Сообщалось о нарушении зрения при системном и местном применении кортикостероидов. Если у пациента наблюдаются такие симптомы, как </w:t>
      </w:r>
      <w:r w:rsidRPr="00EE1606">
        <w:rPr>
          <w:sz w:val="28"/>
          <w:szCs w:val="28"/>
        </w:rPr>
        <w:lastRenderedPageBreak/>
        <w:t xml:space="preserve">нечеткость зрения или другие нарушения зрения, его следует направить к офтальмологу для оценки возможных причин, которые могут включать катаракту, глаукому или редкие заболевания, такие как центральная серозная </w:t>
      </w:r>
      <w:proofErr w:type="spellStart"/>
      <w:r w:rsidRPr="00EE1606">
        <w:rPr>
          <w:sz w:val="28"/>
          <w:szCs w:val="28"/>
        </w:rPr>
        <w:t>хориоретинопатия</w:t>
      </w:r>
      <w:proofErr w:type="spellEnd"/>
      <w:r w:rsidRPr="00EE1606">
        <w:rPr>
          <w:sz w:val="28"/>
          <w:szCs w:val="28"/>
        </w:rPr>
        <w:t>.</w:t>
      </w:r>
    </w:p>
    <w:p w14:paraId="5E3E0C1A" w14:textId="77777777" w:rsidR="00136CE6" w:rsidRPr="00EE1606" w:rsidRDefault="00136CE6" w:rsidP="00136CE6">
      <w:pPr>
        <w:tabs>
          <w:tab w:val="left" w:pos="9356"/>
        </w:tabs>
        <w:ind w:right="28"/>
        <w:jc w:val="both"/>
        <w:rPr>
          <w:i/>
          <w:sz w:val="28"/>
          <w:szCs w:val="28"/>
        </w:rPr>
      </w:pPr>
      <w:r w:rsidRPr="00EE1606">
        <w:rPr>
          <w:i/>
          <w:sz w:val="28"/>
          <w:szCs w:val="28"/>
        </w:rPr>
        <w:t>Другие симптомы</w:t>
      </w:r>
    </w:p>
    <w:p w14:paraId="5E3E0C1B" w14:textId="77777777" w:rsidR="00136CE6" w:rsidRPr="00EE1606" w:rsidRDefault="00136CE6" w:rsidP="00136CE6">
      <w:pPr>
        <w:tabs>
          <w:tab w:val="left" w:pos="9356"/>
        </w:tabs>
        <w:ind w:right="28"/>
        <w:jc w:val="both"/>
        <w:rPr>
          <w:sz w:val="28"/>
          <w:szCs w:val="28"/>
        </w:rPr>
      </w:pPr>
      <w:r w:rsidRPr="00EE1606">
        <w:rPr>
          <w:sz w:val="28"/>
          <w:szCs w:val="28"/>
        </w:rPr>
        <w:t xml:space="preserve">Терапия препаратом </w:t>
      </w:r>
      <w:proofErr w:type="spellStart"/>
      <w:r w:rsidRPr="00EE1606">
        <w:rPr>
          <w:sz w:val="28"/>
          <w:szCs w:val="28"/>
        </w:rPr>
        <w:t>Момат</w:t>
      </w:r>
      <w:proofErr w:type="spellEnd"/>
      <w:r w:rsidRPr="00EE1606">
        <w:rPr>
          <w:sz w:val="28"/>
          <w:szCs w:val="28"/>
        </w:rPr>
        <w:t xml:space="preserve"> Рино обеспечивает контроль назальных симптомов заболевания у большинства пациентов, однако, следует рассмотреть возможность дополнительной терапии для облегчения офтальмологических симптомов заболевания.</w:t>
      </w:r>
    </w:p>
    <w:p w14:paraId="5E3E0C1C" w14:textId="77777777" w:rsidR="00692093" w:rsidRPr="00EE1606" w:rsidRDefault="0038492A" w:rsidP="006044B5">
      <w:pPr>
        <w:tabs>
          <w:tab w:val="left" w:pos="9356"/>
        </w:tabs>
        <w:ind w:right="28"/>
        <w:jc w:val="both"/>
        <w:rPr>
          <w:i/>
          <w:sz w:val="28"/>
          <w:szCs w:val="28"/>
        </w:rPr>
      </w:pPr>
      <w:r w:rsidRPr="00EE1606">
        <w:rPr>
          <w:i/>
          <w:sz w:val="28"/>
          <w:szCs w:val="28"/>
        </w:rPr>
        <w:t xml:space="preserve">Применение в педиатрии </w:t>
      </w:r>
    </w:p>
    <w:p w14:paraId="5E3E0C1D" w14:textId="77777777" w:rsidR="00136CE6" w:rsidRPr="00EE1606" w:rsidRDefault="00136CE6" w:rsidP="00136CE6">
      <w:pPr>
        <w:tabs>
          <w:tab w:val="left" w:pos="9356"/>
        </w:tabs>
        <w:ind w:right="28"/>
        <w:jc w:val="both"/>
        <w:rPr>
          <w:i/>
          <w:sz w:val="28"/>
          <w:szCs w:val="28"/>
        </w:rPr>
      </w:pPr>
      <w:r w:rsidRPr="00EE1606">
        <w:rPr>
          <w:i/>
          <w:sz w:val="28"/>
          <w:szCs w:val="28"/>
        </w:rPr>
        <w:t>Воздействие на рост ребенка</w:t>
      </w:r>
    </w:p>
    <w:p w14:paraId="5E3E0C1E" w14:textId="77777777" w:rsidR="00136CE6" w:rsidRPr="00EE1606" w:rsidRDefault="00136CE6" w:rsidP="00136CE6">
      <w:pPr>
        <w:tabs>
          <w:tab w:val="left" w:pos="9356"/>
        </w:tabs>
        <w:ind w:right="28"/>
        <w:jc w:val="both"/>
        <w:rPr>
          <w:sz w:val="28"/>
          <w:szCs w:val="28"/>
        </w:rPr>
      </w:pPr>
      <w:r w:rsidRPr="00EE1606">
        <w:rPr>
          <w:sz w:val="28"/>
          <w:szCs w:val="28"/>
        </w:rPr>
        <w:t>Применение препарата у детей младшего возраста должно проводиться только под контролем взрослых.</w:t>
      </w:r>
    </w:p>
    <w:p w14:paraId="5E3E0C1F" w14:textId="77777777" w:rsidR="00136CE6" w:rsidRPr="00EE1606" w:rsidRDefault="00136CE6" w:rsidP="00136CE6">
      <w:pPr>
        <w:tabs>
          <w:tab w:val="left" w:pos="9356"/>
        </w:tabs>
        <w:ind w:right="28"/>
        <w:jc w:val="both"/>
        <w:rPr>
          <w:sz w:val="28"/>
          <w:szCs w:val="28"/>
        </w:rPr>
      </w:pPr>
      <w:r w:rsidRPr="00EE1606">
        <w:rPr>
          <w:sz w:val="28"/>
          <w:szCs w:val="28"/>
        </w:rPr>
        <w:t xml:space="preserve">Рекомендуется регулярно проверять рост детей, получающих длительное лечение назальными кортикостероидами. В </w:t>
      </w:r>
      <w:proofErr w:type="gramStart"/>
      <w:r w:rsidRPr="00EE1606">
        <w:rPr>
          <w:sz w:val="28"/>
          <w:szCs w:val="28"/>
        </w:rPr>
        <w:t>случае</w:t>
      </w:r>
      <w:proofErr w:type="gramEnd"/>
      <w:r w:rsidRPr="00EE1606">
        <w:rPr>
          <w:sz w:val="28"/>
          <w:szCs w:val="28"/>
        </w:rPr>
        <w:t xml:space="preserve"> выявления замедления роста необходимо рассмотреть возможность снижения дозы назального кортикостероида до самой низкой дозы, при которой поддерживается эффективный контроль симптомов. В </w:t>
      </w:r>
      <w:proofErr w:type="gramStart"/>
      <w:r w:rsidRPr="00EE1606">
        <w:rPr>
          <w:sz w:val="28"/>
          <w:szCs w:val="28"/>
        </w:rPr>
        <w:t>подобном</w:t>
      </w:r>
      <w:proofErr w:type="gramEnd"/>
      <w:r w:rsidRPr="00EE1606">
        <w:rPr>
          <w:sz w:val="28"/>
          <w:szCs w:val="28"/>
        </w:rPr>
        <w:t xml:space="preserve"> случае ребенка следует проконсультировать у педиатра.</w:t>
      </w:r>
    </w:p>
    <w:p w14:paraId="5E3E0C20" w14:textId="77777777" w:rsidR="00136CE6" w:rsidRPr="00EE1606" w:rsidRDefault="00136CE6" w:rsidP="00136CE6">
      <w:pPr>
        <w:tabs>
          <w:tab w:val="left" w:pos="9356"/>
        </w:tabs>
        <w:ind w:right="28"/>
        <w:jc w:val="both"/>
        <w:rPr>
          <w:sz w:val="28"/>
          <w:szCs w:val="28"/>
        </w:rPr>
      </w:pPr>
      <w:r w:rsidRPr="00EE1606">
        <w:rPr>
          <w:sz w:val="28"/>
          <w:szCs w:val="28"/>
        </w:rPr>
        <w:t>Не исследовал</w:t>
      </w:r>
      <w:r w:rsidR="0038492A" w:rsidRPr="00EE1606">
        <w:rPr>
          <w:sz w:val="28"/>
          <w:szCs w:val="28"/>
        </w:rPr>
        <w:t>ась</w:t>
      </w:r>
      <w:r w:rsidRPr="00EE1606">
        <w:rPr>
          <w:sz w:val="28"/>
          <w:szCs w:val="28"/>
        </w:rPr>
        <w:t xml:space="preserve"> безопасность и эффективность назального спрея </w:t>
      </w:r>
      <w:proofErr w:type="spellStart"/>
      <w:r w:rsidRPr="00EE1606">
        <w:rPr>
          <w:sz w:val="28"/>
          <w:szCs w:val="28"/>
        </w:rPr>
        <w:t>мометазон</w:t>
      </w:r>
      <w:proofErr w:type="spellEnd"/>
      <w:r w:rsidRPr="00EE1606">
        <w:rPr>
          <w:sz w:val="28"/>
          <w:szCs w:val="28"/>
        </w:rPr>
        <w:t xml:space="preserve"> </w:t>
      </w:r>
      <w:proofErr w:type="spellStart"/>
      <w:r w:rsidRPr="00EE1606">
        <w:rPr>
          <w:sz w:val="28"/>
          <w:szCs w:val="28"/>
        </w:rPr>
        <w:t>фуроат</w:t>
      </w:r>
      <w:proofErr w:type="spellEnd"/>
      <w:r w:rsidRPr="00EE1606">
        <w:rPr>
          <w:sz w:val="28"/>
          <w:szCs w:val="28"/>
        </w:rPr>
        <w:t xml:space="preserve"> при лечении назальных полипов у детей в возрасте до 18 лет, сезонного или круглогодичного аллергического ринита - у детей в возрасте до 3 лет.</w:t>
      </w:r>
    </w:p>
    <w:p w14:paraId="5E3E0C21" w14:textId="77777777" w:rsidR="00136CE6" w:rsidRPr="00EE1606" w:rsidRDefault="0038492A" w:rsidP="00136CE6">
      <w:pPr>
        <w:jc w:val="both"/>
        <w:rPr>
          <w:i/>
          <w:sz w:val="28"/>
          <w:szCs w:val="28"/>
        </w:rPr>
      </w:pPr>
      <w:r w:rsidRPr="00EE1606">
        <w:rPr>
          <w:i/>
          <w:sz w:val="28"/>
          <w:szCs w:val="28"/>
        </w:rPr>
        <w:t>Во время б</w:t>
      </w:r>
      <w:r w:rsidR="00136CE6" w:rsidRPr="00EE1606">
        <w:rPr>
          <w:i/>
          <w:sz w:val="28"/>
          <w:szCs w:val="28"/>
        </w:rPr>
        <w:t>еременност</w:t>
      </w:r>
      <w:r w:rsidRPr="00EE1606">
        <w:rPr>
          <w:i/>
          <w:sz w:val="28"/>
          <w:szCs w:val="28"/>
        </w:rPr>
        <w:t>и или лактации</w:t>
      </w:r>
      <w:r w:rsidR="00136CE6" w:rsidRPr="00EE1606">
        <w:rPr>
          <w:i/>
          <w:sz w:val="28"/>
          <w:szCs w:val="28"/>
        </w:rPr>
        <w:t xml:space="preserve"> </w:t>
      </w:r>
    </w:p>
    <w:p w14:paraId="5E3E0C22" w14:textId="77777777" w:rsidR="00136CE6" w:rsidRPr="00EE1606" w:rsidRDefault="00136CE6" w:rsidP="00136CE6">
      <w:pPr>
        <w:jc w:val="both"/>
        <w:rPr>
          <w:sz w:val="28"/>
          <w:szCs w:val="28"/>
        </w:rPr>
      </w:pPr>
      <w:r w:rsidRPr="00EE1606">
        <w:rPr>
          <w:sz w:val="28"/>
          <w:szCs w:val="28"/>
        </w:rPr>
        <w:t xml:space="preserve">Специальные исследования действия препарата у беременных женщин не проводились. Однако, как и другие кортикостероиды для </w:t>
      </w:r>
      <w:proofErr w:type="spellStart"/>
      <w:r w:rsidRPr="00EE1606">
        <w:rPr>
          <w:sz w:val="28"/>
          <w:szCs w:val="28"/>
        </w:rPr>
        <w:t>интраназального</w:t>
      </w:r>
      <w:proofErr w:type="spellEnd"/>
      <w:r w:rsidRPr="00EE1606">
        <w:rPr>
          <w:sz w:val="28"/>
          <w:szCs w:val="28"/>
        </w:rPr>
        <w:t xml:space="preserve"> применения, </w:t>
      </w:r>
      <w:proofErr w:type="spellStart"/>
      <w:r w:rsidRPr="00EE1606">
        <w:rPr>
          <w:sz w:val="28"/>
          <w:szCs w:val="28"/>
        </w:rPr>
        <w:t>Момат</w:t>
      </w:r>
      <w:proofErr w:type="spellEnd"/>
      <w:r w:rsidRPr="00EE1606">
        <w:rPr>
          <w:sz w:val="28"/>
          <w:szCs w:val="28"/>
        </w:rPr>
        <w:t xml:space="preserve"> Рино применяется у беременных женщин, только если ожидаемая польза от его применения оправдывает потенциальный риск для матери, плода или ребенка. Младенцев, матери которых во время беременности применяли кортикостероиды, следует тщательно обследовать на предмет возможной гипофункции надпочечников.</w:t>
      </w:r>
    </w:p>
    <w:p w14:paraId="5E3E0C23" w14:textId="77777777" w:rsidR="00136CE6" w:rsidRPr="00EE1606" w:rsidRDefault="00136CE6" w:rsidP="00136CE6">
      <w:pPr>
        <w:jc w:val="both"/>
        <w:rPr>
          <w:i/>
          <w:iCs/>
          <w:sz w:val="28"/>
          <w:szCs w:val="28"/>
        </w:rPr>
      </w:pPr>
      <w:r w:rsidRPr="00EE1606">
        <w:rPr>
          <w:i/>
          <w:iCs/>
          <w:sz w:val="28"/>
          <w:szCs w:val="28"/>
        </w:rPr>
        <w:t>Лактация</w:t>
      </w:r>
    </w:p>
    <w:p w14:paraId="5E3E0C24" w14:textId="77777777" w:rsidR="00136CE6" w:rsidRPr="00EE1606" w:rsidRDefault="00136CE6" w:rsidP="00136CE6">
      <w:pPr>
        <w:jc w:val="both"/>
        <w:rPr>
          <w:iCs/>
          <w:sz w:val="28"/>
          <w:szCs w:val="28"/>
        </w:rPr>
      </w:pPr>
      <w:r w:rsidRPr="00EE1606">
        <w:rPr>
          <w:sz w:val="28"/>
          <w:szCs w:val="28"/>
        </w:rPr>
        <w:t xml:space="preserve">Неизвестно выделяется ли </w:t>
      </w:r>
      <w:proofErr w:type="spellStart"/>
      <w:r w:rsidRPr="00EE1606">
        <w:rPr>
          <w:sz w:val="28"/>
          <w:szCs w:val="28"/>
        </w:rPr>
        <w:t>мометазона</w:t>
      </w:r>
      <w:proofErr w:type="spellEnd"/>
      <w:r w:rsidRPr="00EE1606">
        <w:rPr>
          <w:sz w:val="28"/>
          <w:szCs w:val="28"/>
        </w:rPr>
        <w:t xml:space="preserve"> </w:t>
      </w:r>
      <w:proofErr w:type="spellStart"/>
      <w:r w:rsidRPr="00EE1606">
        <w:rPr>
          <w:sz w:val="28"/>
          <w:szCs w:val="28"/>
        </w:rPr>
        <w:t>фуроат</w:t>
      </w:r>
      <w:proofErr w:type="spellEnd"/>
      <w:r w:rsidRPr="00EE1606">
        <w:rPr>
          <w:sz w:val="28"/>
          <w:szCs w:val="28"/>
        </w:rPr>
        <w:t xml:space="preserve"> в грудное молоко. Учитывая соотношение пользы и риска</w:t>
      </w:r>
      <w:r w:rsidR="00530B90" w:rsidRPr="00EE1606">
        <w:rPr>
          <w:sz w:val="28"/>
          <w:szCs w:val="28"/>
        </w:rPr>
        <w:t>,</w:t>
      </w:r>
      <w:r w:rsidRPr="00EE1606">
        <w:rPr>
          <w:sz w:val="28"/>
          <w:szCs w:val="28"/>
        </w:rPr>
        <w:t xml:space="preserve"> необходимо прекратить грудное вскармливание или прервать терапию.</w:t>
      </w:r>
    </w:p>
    <w:p w14:paraId="5E3E0C25" w14:textId="77777777" w:rsidR="00692093" w:rsidRPr="00EE1606" w:rsidRDefault="00692093" w:rsidP="006044B5">
      <w:pPr>
        <w:jc w:val="both"/>
        <w:rPr>
          <w:i/>
          <w:sz w:val="28"/>
          <w:szCs w:val="28"/>
        </w:rPr>
      </w:pPr>
      <w:r w:rsidRPr="00EE1606">
        <w:rPr>
          <w:i/>
          <w:sz w:val="28"/>
          <w:szCs w:val="28"/>
        </w:rPr>
        <w:t xml:space="preserve">Особенности влияния </w:t>
      </w:r>
      <w:r w:rsidR="002835DD" w:rsidRPr="00EE1606">
        <w:rPr>
          <w:i/>
          <w:sz w:val="28"/>
          <w:szCs w:val="28"/>
        </w:rPr>
        <w:t xml:space="preserve">препарата </w:t>
      </w:r>
      <w:r w:rsidRPr="00EE1606">
        <w:rPr>
          <w:i/>
          <w:sz w:val="28"/>
          <w:szCs w:val="28"/>
        </w:rPr>
        <w:t>на способность управлять транспортным средством или потенциально опасными механизмами</w:t>
      </w:r>
    </w:p>
    <w:p w14:paraId="5E3E0C26" w14:textId="77777777" w:rsidR="00136CE6" w:rsidRPr="00EE1606" w:rsidRDefault="00136CE6" w:rsidP="00136CE6">
      <w:pPr>
        <w:jc w:val="both"/>
        <w:rPr>
          <w:sz w:val="28"/>
          <w:szCs w:val="28"/>
        </w:rPr>
      </w:pPr>
      <w:proofErr w:type="gramStart"/>
      <w:r w:rsidRPr="00EE1606">
        <w:rPr>
          <w:sz w:val="28"/>
          <w:szCs w:val="28"/>
        </w:rPr>
        <w:t>Нет данных о влиянии лекарственного средства на способность управлять</w:t>
      </w:r>
      <w:proofErr w:type="gramEnd"/>
      <w:r w:rsidRPr="00EE1606">
        <w:rPr>
          <w:sz w:val="28"/>
          <w:szCs w:val="28"/>
        </w:rPr>
        <w:t xml:space="preserve"> транспортными средствами или управлять техникой.</w:t>
      </w:r>
    </w:p>
    <w:p w14:paraId="5E3E0C27" w14:textId="77777777" w:rsidR="00692093" w:rsidRPr="00EE1606" w:rsidRDefault="00136CE6" w:rsidP="006044B5">
      <w:pPr>
        <w:jc w:val="both"/>
        <w:rPr>
          <w:sz w:val="28"/>
          <w:szCs w:val="28"/>
        </w:rPr>
      </w:pPr>
      <w:r w:rsidRPr="00EE1606">
        <w:rPr>
          <w:sz w:val="28"/>
          <w:szCs w:val="28"/>
        </w:rPr>
        <w:t xml:space="preserve"> </w:t>
      </w:r>
    </w:p>
    <w:p w14:paraId="5E3E0C28" w14:textId="77777777" w:rsidR="00692093" w:rsidRPr="00EE1606" w:rsidRDefault="00692093" w:rsidP="006044B5">
      <w:pPr>
        <w:jc w:val="both"/>
        <w:rPr>
          <w:b/>
          <w:sz w:val="28"/>
          <w:szCs w:val="28"/>
        </w:rPr>
      </w:pPr>
      <w:r w:rsidRPr="00EE1606">
        <w:rPr>
          <w:b/>
          <w:sz w:val="28"/>
          <w:szCs w:val="28"/>
        </w:rPr>
        <w:t>Рекомендации по применению</w:t>
      </w:r>
    </w:p>
    <w:p w14:paraId="5E3E0C29" w14:textId="77777777" w:rsidR="00692093" w:rsidRPr="00EE1606" w:rsidRDefault="00692093" w:rsidP="006044B5">
      <w:pPr>
        <w:jc w:val="both"/>
        <w:rPr>
          <w:b/>
          <w:i/>
          <w:sz w:val="28"/>
          <w:szCs w:val="28"/>
        </w:rPr>
      </w:pPr>
      <w:r w:rsidRPr="00EE1606">
        <w:rPr>
          <w:b/>
          <w:i/>
          <w:sz w:val="28"/>
          <w:szCs w:val="28"/>
        </w:rPr>
        <w:t xml:space="preserve">Режим дозирования </w:t>
      </w:r>
    </w:p>
    <w:p w14:paraId="5E3E0C2A" w14:textId="77777777" w:rsidR="00136CE6" w:rsidRPr="00EE1606" w:rsidRDefault="00136CE6" w:rsidP="00136CE6">
      <w:pPr>
        <w:jc w:val="both"/>
        <w:rPr>
          <w:sz w:val="28"/>
          <w:szCs w:val="28"/>
        </w:rPr>
      </w:pPr>
      <w:r w:rsidRPr="00EE1606">
        <w:rPr>
          <w:sz w:val="28"/>
          <w:szCs w:val="28"/>
        </w:rPr>
        <w:t xml:space="preserve">Перед первым применением назального спрея </w:t>
      </w:r>
      <w:proofErr w:type="spellStart"/>
      <w:r w:rsidRPr="00EE1606">
        <w:rPr>
          <w:sz w:val="28"/>
          <w:szCs w:val="28"/>
        </w:rPr>
        <w:t>Момат</w:t>
      </w:r>
      <w:proofErr w:type="spellEnd"/>
      <w:r w:rsidRPr="00EE1606">
        <w:rPr>
          <w:sz w:val="28"/>
          <w:szCs w:val="28"/>
        </w:rPr>
        <w:t xml:space="preserve"> Рино необходимо провести его «калибровку» путем 10 нажатий дозирующего устройства (до получения однородного спрея). После «калибровки» устанавливается </w:t>
      </w:r>
      <w:r w:rsidRPr="00EE1606">
        <w:rPr>
          <w:sz w:val="28"/>
          <w:szCs w:val="28"/>
        </w:rPr>
        <w:lastRenderedPageBreak/>
        <w:t xml:space="preserve">стереотипная подача лекарственного вещества, при которой с каждым нажатием происходит выброс приблизительно 100 мг суспензии, содержащей 50 мкг </w:t>
      </w:r>
      <w:proofErr w:type="spellStart"/>
      <w:r w:rsidRPr="00EE1606">
        <w:rPr>
          <w:sz w:val="28"/>
          <w:szCs w:val="28"/>
        </w:rPr>
        <w:t>мометазона</w:t>
      </w:r>
      <w:proofErr w:type="spellEnd"/>
      <w:r w:rsidRPr="00EE1606">
        <w:rPr>
          <w:sz w:val="28"/>
          <w:szCs w:val="28"/>
        </w:rPr>
        <w:t>. Если назальный спрей не использовался в течение 7 дней или дольше, то необходима повторная «калибровка» путем 2 нажатий, пока не будет наблюдаться равномерное распыление спрея.</w:t>
      </w:r>
    </w:p>
    <w:p w14:paraId="5E3E0C2B" w14:textId="77777777" w:rsidR="00136CE6" w:rsidRPr="00EE1606" w:rsidRDefault="00136CE6" w:rsidP="00136CE6">
      <w:pPr>
        <w:jc w:val="both"/>
        <w:rPr>
          <w:sz w:val="28"/>
          <w:szCs w:val="28"/>
        </w:rPr>
      </w:pPr>
      <w:r w:rsidRPr="00EE1606">
        <w:rPr>
          <w:sz w:val="28"/>
          <w:szCs w:val="28"/>
        </w:rPr>
        <w:t xml:space="preserve">Перед каждым использованием необходимо энергично встряхивать флакон спрея, аккуратно высморкаться, затем, слегка наклонив голову вперед и медленно вдыхая через нос, впрыснуть спрей в нос. </w:t>
      </w:r>
      <w:r w:rsidR="006E0BE3" w:rsidRPr="00EE1606">
        <w:rPr>
          <w:sz w:val="28"/>
          <w:szCs w:val="28"/>
        </w:rPr>
        <w:t>Выдохнуть через рот.</w:t>
      </w:r>
    </w:p>
    <w:p w14:paraId="5E3E0C2C" w14:textId="77777777" w:rsidR="00136CE6" w:rsidRPr="00EE1606" w:rsidRDefault="00136CE6" w:rsidP="00136CE6">
      <w:pPr>
        <w:jc w:val="both"/>
        <w:rPr>
          <w:sz w:val="28"/>
          <w:szCs w:val="28"/>
        </w:rPr>
      </w:pPr>
      <w:r w:rsidRPr="00EE1606">
        <w:rPr>
          <w:sz w:val="28"/>
          <w:szCs w:val="28"/>
        </w:rPr>
        <w:t>Флакон со спреем становится непригодным после указанного числа впрыскиваний (120 доз).</w:t>
      </w:r>
    </w:p>
    <w:p w14:paraId="5E3E0C2D" w14:textId="77777777" w:rsidR="00136CE6" w:rsidRPr="00EE1606" w:rsidRDefault="00136CE6" w:rsidP="00136CE6">
      <w:pPr>
        <w:jc w:val="both"/>
        <w:rPr>
          <w:i/>
          <w:sz w:val="28"/>
          <w:szCs w:val="28"/>
        </w:rPr>
      </w:pPr>
      <w:r w:rsidRPr="00EE1606">
        <w:rPr>
          <w:i/>
          <w:sz w:val="28"/>
          <w:szCs w:val="28"/>
        </w:rPr>
        <w:t>Сезонный или круглогодичный аллергический ринит</w:t>
      </w:r>
    </w:p>
    <w:p w14:paraId="5E3E0C2E" w14:textId="77777777" w:rsidR="00136CE6" w:rsidRPr="00EE1606" w:rsidRDefault="00136CE6" w:rsidP="00136CE6">
      <w:pPr>
        <w:jc w:val="both"/>
        <w:rPr>
          <w:sz w:val="28"/>
          <w:szCs w:val="28"/>
        </w:rPr>
      </w:pPr>
      <w:r w:rsidRPr="00EE1606">
        <w:rPr>
          <w:sz w:val="28"/>
          <w:szCs w:val="28"/>
          <w:u w:val="single"/>
        </w:rPr>
        <w:t>У подростков в возрасте старше 12 лет и взрослых, включая пожилых пациентов</w:t>
      </w:r>
      <w:r w:rsidRPr="00EE1606">
        <w:rPr>
          <w:sz w:val="28"/>
          <w:szCs w:val="28"/>
        </w:rPr>
        <w:t xml:space="preserve">, рекомендованная доза препарата составляет </w:t>
      </w:r>
      <w:r w:rsidRPr="00EE1606">
        <w:rPr>
          <w:sz w:val="28"/>
          <w:szCs w:val="28"/>
          <w:lang w:val="uk-UA"/>
        </w:rPr>
        <w:t xml:space="preserve">2 </w:t>
      </w:r>
      <w:r w:rsidRPr="00EE1606">
        <w:rPr>
          <w:sz w:val="28"/>
          <w:szCs w:val="28"/>
        </w:rPr>
        <w:t xml:space="preserve">впрыскивания (по </w:t>
      </w:r>
      <w:r w:rsidRPr="00EE1606">
        <w:rPr>
          <w:sz w:val="28"/>
          <w:szCs w:val="28"/>
          <w:lang w:val="uk-UA"/>
        </w:rPr>
        <w:t xml:space="preserve">50 </w:t>
      </w:r>
      <w:r w:rsidRPr="00EE1606">
        <w:rPr>
          <w:sz w:val="28"/>
          <w:szCs w:val="28"/>
        </w:rPr>
        <w:t xml:space="preserve">мкг каждое) в каждую ноздрю </w:t>
      </w:r>
      <w:r w:rsidRPr="00EE1606">
        <w:rPr>
          <w:sz w:val="28"/>
          <w:szCs w:val="28"/>
          <w:lang w:val="uk-UA"/>
        </w:rPr>
        <w:t xml:space="preserve">1 </w:t>
      </w:r>
      <w:r w:rsidRPr="00EE1606">
        <w:rPr>
          <w:sz w:val="28"/>
          <w:szCs w:val="28"/>
        </w:rPr>
        <w:t>раз/</w:t>
      </w:r>
      <w:proofErr w:type="spellStart"/>
      <w:r w:rsidRPr="00EE1606">
        <w:rPr>
          <w:sz w:val="28"/>
          <w:szCs w:val="28"/>
        </w:rPr>
        <w:t>сут</w:t>
      </w:r>
      <w:proofErr w:type="spellEnd"/>
      <w:r w:rsidRPr="00EE1606">
        <w:rPr>
          <w:sz w:val="28"/>
          <w:szCs w:val="28"/>
        </w:rPr>
        <w:t xml:space="preserve"> (общая суточная доза составляет 200 мкг препарата). После достижения положительного клинического эффекта в качестве поддерживающей терапии рекомендуется снижение дозировки до </w:t>
      </w:r>
      <w:r w:rsidRPr="00EE1606">
        <w:rPr>
          <w:sz w:val="28"/>
          <w:szCs w:val="28"/>
          <w:lang w:val="uk-UA"/>
        </w:rPr>
        <w:t xml:space="preserve">1 </w:t>
      </w:r>
      <w:r w:rsidRPr="00EE1606">
        <w:rPr>
          <w:sz w:val="28"/>
          <w:szCs w:val="28"/>
        </w:rPr>
        <w:t xml:space="preserve">впрыскивания в каждую ноздрю (общая суточная доза - </w:t>
      </w:r>
      <w:r w:rsidRPr="00EE1606">
        <w:rPr>
          <w:sz w:val="28"/>
          <w:szCs w:val="28"/>
          <w:lang w:val="uk-UA"/>
        </w:rPr>
        <w:t xml:space="preserve">100 </w:t>
      </w:r>
      <w:r w:rsidRPr="00EE1606">
        <w:rPr>
          <w:sz w:val="28"/>
          <w:szCs w:val="28"/>
        </w:rPr>
        <w:t>мкг).</w:t>
      </w:r>
    </w:p>
    <w:p w14:paraId="5E3E0C2F" w14:textId="77777777" w:rsidR="00136CE6" w:rsidRPr="00EE1606" w:rsidRDefault="00136CE6" w:rsidP="00136CE6">
      <w:pPr>
        <w:jc w:val="both"/>
        <w:rPr>
          <w:sz w:val="28"/>
          <w:szCs w:val="28"/>
        </w:rPr>
      </w:pPr>
      <w:r w:rsidRPr="00EE1606">
        <w:rPr>
          <w:sz w:val="28"/>
          <w:szCs w:val="28"/>
        </w:rPr>
        <w:t>Если ослабления симптомов заболевания достичь не удается, доза может быть увеличена до максимальной суточной дозы и составить 4 впрыскивания в каждую ноздрю 1 раз/</w:t>
      </w:r>
      <w:proofErr w:type="spellStart"/>
      <w:r w:rsidRPr="00EE1606">
        <w:rPr>
          <w:sz w:val="28"/>
          <w:szCs w:val="28"/>
        </w:rPr>
        <w:t>сут</w:t>
      </w:r>
      <w:proofErr w:type="spellEnd"/>
      <w:r w:rsidRPr="00EE1606">
        <w:rPr>
          <w:sz w:val="28"/>
          <w:szCs w:val="28"/>
        </w:rPr>
        <w:t xml:space="preserve"> (общая суточная доза - 400 мкг). После ослабления симптомов заболевания рекомендуется снижение дозы.</w:t>
      </w:r>
    </w:p>
    <w:p w14:paraId="5E3E0C30" w14:textId="77777777" w:rsidR="00136CE6" w:rsidRPr="00EE1606" w:rsidRDefault="00136CE6" w:rsidP="00136CE6">
      <w:pPr>
        <w:jc w:val="both"/>
        <w:rPr>
          <w:sz w:val="28"/>
          <w:szCs w:val="28"/>
        </w:rPr>
      </w:pPr>
      <w:r w:rsidRPr="00EE1606">
        <w:rPr>
          <w:sz w:val="28"/>
          <w:szCs w:val="28"/>
          <w:u w:val="single"/>
        </w:rPr>
        <w:t>У детей в возрасте с 3 до 11 лет</w:t>
      </w:r>
      <w:r w:rsidRPr="00EE1606">
        <w:rPr>
          <w:sz w:val="28"/>
          <w:szCs w:val="28"/>
        </w:rPr>
        <w:t xml:space="preserve"> рекомендуемая доза составляет 1</w:t>
      </w:r>
      <w:r w:rsidRPr="00EE1606">
        <w:rPr>
          <w:sz w:val="28"/>
          <w:szCs w:val="28"/>
          <w:lang w:val="uk-UA"/>
        </w:rPr>
        <w:t xml:space="preserve"> </w:t>
      </w:r>
      <w:r w:rsidRPr="00EE1606">
        <w:rPr>
          <w:sz w:val="28"/>
          <w:szCs w:val="28"/>
        </w:rPr>
        <w:t xml:space="preserve">впрыскивание (по </w:t>
      </w:r>
      <w:r w:rsidRPr="00EE1606">
        <w:rPr>
          <w:sz w:val="28"/>
          <w:szCs w:val="28"/>
          <w:lang w:val="uk-UA"/>
        </w:rPr>
        <w:t xml:space="preserve">50 </w:t>
      </w:r>
      <w:r w:rsidRPr="00EE1606">
        <w:rPr>
          <w:sz w:val="28"/>
          <w:szCs w:val="28"/>
        </w:rPr>
        <w:t>мкг каждое) в каждую ноздрю 1 раз/</w:t>
      </w:r>
      <w:proofErr w:type="spellStart"/>
      <w:r w:rsidRPr="00EE1606">
        <w:rPr>
          <w:sz w:val="28"/>
          <w:szCs w:val="28"/>
        </w:rPr>
        <w:t>сут</w:t>
      </w:r>
      <w:proofErr w:type="spellEnd"/>
      <w:r w:rsidRPr="00EE1606">
        <w:rPr>
          <w:sz w:val="28"/>
          <w:szCs w:val="28"/>
        </w:rPr>
        <w:t xml:space="preserve"> (общая суточная доза - </w:t>
      </w:r>
      <w:r w:rsidRPr="00EE1606">
        <w:rPr>
          <w:sz w:val="28"/>
          <w:szCs w:val="28"/>
          <w:lang w:val="uk-UA"/>
        </w:rPr>
        <w:t xml:space="preserve">100 </w:t>
      </w:r>
      <w:r w:rsidRPr="00EE1606">
        <w:rPr>
          <w:sz w:val="28"/>
          <w:szCs w:val="28"/>
        </w:rPr>
        <w:t>мкг).</w:t>
      </w:r>
    </w:p>
    <w:p w14:paraId="5E3E0C31" w14:textId="77777777" w:rsidR="00136CE6" w:rsidRPr="00EE1606" w:rsidRDefault="00136CE6" w:rsidP="00136CE6">
      <w:pPr>
        <w:jc w:val="both"/>
        <w:rPr>
          <w:sz w:val="28"/>
          <w:szCs w:val="28"/>
        </w:rPr>
      </w:pPr>
      <w:r w:rsidRPr="00EE1606">
        <w:rPr>
          <w:sz w:val="28"/>
          <w:szCs w:val="28"/>
        </w:rPr>
        <w:t xml:space="preserve">У некоторых пациентов с сезонным аллергическим ринитом начало клинического эффекта может наблюдаться уже </w:t>
      </w:r>
      <w:proofErr w:type="gramStart"/>
      <w:r w:rsidRPr="00EE1606">
        <w:rPr>
          <w:sz w:val="28"/>
          <w:szCs w:val="28"/>
        </w:rPr>
        <w:t>в первые</w:t>
      </w:r>
      <w:proofErr w:type="gramEnd"/>
      <w:r w:rsidRPr="00EE1606">
        <w:rPr>
          <w:sz w:val="28"/>
          <w:szCs w:val="28"/>
        </w:rPr>
        <w:t xml:space="preserve"> 12 часов после начала терапии, хотя полное действие может быть достигнуто только через 48 часов. Поэтому для достижения полного клинического эффекта важно использовать лекарственное средство регулярно. </w:t>
      </w:r>
    </w:p>
    <w:p w14:paraId="5E3E0C32" w14:textId="77777777" w:rsidR="00136CE6" w:rsidRPr="00EE1606" w:rsidRDefault="00136CE6" w:rsidP="00136CE6">
      <w:pPr>
        <w:jc w:val="both"/>
        <w:rPr>
          <w:sz w:val="28"/>
          <w:szCs w:val="28"/>
        </w:rPr>
      </w:pPr>
      <w:r w:rsidRPr="00EE1606">
        <w:rPr>
          <w:sz w:val="28"/>
          <w:szCs w:val="28"/>
        </w:rPr>
        <w:t xml:space="preserve">Пациентам с симптомами сезонного аллергического ринита умеренной и тяжелой степени в анамнезе необходимо начинать лечение назальным спреем </w:t>
      </w:r>
      <w:proofErr w:type="spellStart"/>
      <w:r w:rsidRPr="00EE1606">
        <w:rPr>
          <w:sz w:val="28"/>
          <w:szCs w:val="28"/>
        </w:rPr>
        <w:t>Момат</w:t>
      </w:r>
      <w:proofErr w:type="spellEnd"/>
      <w:r w:rsidRPr="00EE1606">
        <w:rPr>
          <w:sz w:val="28"/>
          <w:szCs w:val="28"/>
        </w:rPr>
        <w:t xml:space="preserve"> Рино за несколько дней до ожидаемого начала сезона цветения.</w:t>
      </w:r>
    </w:p>
    <w:p w14:paraId="5E3E0C33" w14:textId="77777777" w:rsidR="00136CE6" w:rsidRPr="00EE1606" w:rsidRDefault="00136CE6" w:rsidP="00136CE6">
      <w:pPr>
        <w:jc w:val="both"/>
        <w:rPr>
          <w:i/>
          <w:sz w:val="28"/>
          <w:szCs w:val="28"/>
        </w:rPr>
      </w:pPr>
      <w:proofErr w:type="spellStart"/>
      <w:r w:rsidRPr="00EE1606">
        <w:rPr>
          <w:i/>
          <w:sz w:val="28"/>
          <w:szCs w:val="28"/>
        </w:rPr>
        <w:t>Полипоз</w:t>
      </w:r>
      <w:proofErr w:type="spellEnd"/>
      <w:r w:rsidRPr="00EE1606">
        <w:rPr>
          <w:i/>
          <w:sz w:val="28"/>
          <w:szCs w:val="28"/>
        </w:rPr>
        <w:t xml:space="preserve"> носа</w:t>
      </w:r>
    </w:p>
    <w:p w14:paraId="5E3E0C34" w14:textId="77777777" w:rsidR="00692093" w:rsidRPr="00EE1606" w:rsidRDefault="00136CE6" w:rsidP="0038492A">
      <w:pPr>
        <w:jc w:val="both"/>
        <w:rPr>
          <w:sz w:val="28"/>
          <w:szCs w:val="28"/>
        </w:rPr>
      </w:pPr>
      <w:r w:rsidRPr="00EE1606">
        <w:rPr>
          <w:sz w:val="28"/>
          <w:szCs w:val="28"/>
        </w:rPr>
        <w:t xml:space="preserve">Рекомендуемая начальная доза для лечения </w:t>
      </w:r>
      <w:proofErr w:type="spellStart"/>
      <w:r w:rsidRPr="00EE1606">
        <w:rPr>
          <w:sz w:val="28"/>
          <w:szCs w:val="28"/>
        </w:rPr>
        <w:t>полипоза</w:t>
      </w:r>
      <w:proofErr w:type="spellEnd"/>
      <w:r w:rsidRPr="00EE1606">
        <w:rPr>
          <w:sz w:val="28"/>
          <w:szCs w:val="28"/>
        </w:rPr>
        <w:t xml:space="preserve"> составляет 2 впрыскивания (по </w:t>
      </w:r>
      <w:r w:rsidRPr="00EE1606">
        <w:rPr>
          <w:sz w:val="28"/>
          <w:szCs w:val="28"/>
          <w:lang w:val="uk-UA"/>
        </w:rPr>
        <w:t xml:space="preserve">50 </w:t>
      </w:r>
      <w:r w:rsidRPr="00EE1606">
        <w:rPr>
          <w:sz w:val="28"/>
          <w:szCs w:val="28"/>
        </w:rPr>
        <w:t>мкг каждое) в каждую ноздрю 1 раз/</w:t>
      </w:r>
      <w:proofErr w:type="spellStart"/>
      <w:r w:rsidRPr="00EE1606">
        <w:rPr>
          <w:sz w:val="28"/>
          <w:szCs w:val="28"/>
        </w:rPr>
        <w:t>сут</w:t>
      </w:r>
      <w:proofErr w:type="spellEnd"/>
      <w:r w:rsidRPr="00EE1606">
        <w:rPr>
          <w:sz w:val="28"/>
          <w:szCs w:val="28"/>
        </w:rPr>
        <w:t xml:space="preserve"> (общая суточная доза - </w:t>
      </w:r>
      <w:r w:rsidRPr="00EE1606">
        <w:rPr>
          <w:sz w:val="28"/>
          <w:szCs w:val="28"/>
          <w:lang w:val="uk-UA"/>
        </w:rPr>
        <w:t xml:space="preserve">200 </w:t>
      </w:r>
      <w:r w:rsidRPr="00EE1606">
        <w:rPr>
          <w:sz w:val="28"/>
          <w:szCs w:val="28"/>
        </w:rPr>
        <w:t>мкг). Если после 5-6 недель терапии ослабления симптомов заболевания достичь не удается, дозировка может быть увеличена до 2 впрыскиваний в каждую ноздрю 2 раза/</w:t>
      </w:r>
      <w:proofErr w:type="spellStart"/>
      <w:r w:rsidRPr="00EE1606">
        <w:rPr>
          <w:sz w:val="28"/>
          <w:szCs w:val="28"/>
        </w:rPr>
        <w:t>сут</w:t>
      </w:r>
      <w:proofErr w:type="spellEnd"/>
      <w:r w:rsidRPr="00EE1606">
        <w:rPr>
          <w:sz w:val="28"/>
          <w:szCs w:val="28"/>
        </w:rPr>
        <w:t xml:space="preserve"> (общая суточная доза - </w:t>
      </w:r>
      <w:r w:rsidRPr="00EE1606">
        <w:rPr>
          <w:sz w:val="28"/>
          <w:szCs w:val="28"/>
          <w:lang w:val="uk-UA"/>
        </w:rPr>
        <w:t xml:space="preserve">400 </w:t>
      </w:r>
      <w:r w:rsidRPr="00EE1606">
        <w:rPr>
          <w:sz w:val="28"/>
          <w:szCs w:val="28"/>
        </w:rPr>
        <w:t>мкг). Дозу следует снизить до самой низкой дозы, при которой эффективно контролируются симптомы заболевания. Если после 5-6 недель терапии при назначении 2 раза/</w:t>
      </w:r>
      <w:proofErr w:type="spellStart"/>
      <w:r w:rsidRPr="00EE1606">
        <w:rPr>
          <w:sz w:val="28"/>
          <w:szCs w:val="28"/>
        </w:rPr>
        <w:t>сут</w:t>
      </w:r>
      <w:proofErr w:type="spellEnd"/>
      <w:r w:rsidRPr="00EE1606">
        <w:rPr>
          <w:sz w:val="28"/>
          <w:szCs w:val="28"/>
        </w:rPr>
        <w:t xml:space="preserve"> не наблюдается улучшение симптомов,</w:t>
      </w:r>
      <w:r w:rsidRPr="00EE1606">
        <w:rPr>
          <w:sz w:val="28"/>
          <w:szCs w:val="28"/>
          <w:lang w:val="en-US"/>
        </w:rPr>
        <w:t> </w:t>
      </w:r>
      <w:r w:rsidRPr="00EE1606">
        <w:rPr>
          <w:sz w:val="28"/>
          <w:szCs w:val="28"/>
        </w:rPr>
        <w:t xml:space="preserve">следует провести повторную оценку состояния пациента и пересмотреть стратегию лечения. </w:t>
      </w:r>
    </w:p>
    <w:p w14:paraId="5E3E0C35" w14:textId="77777777" w:rsidR="00692093" w:rsidRPr="00EE1606" w:rsidRDefault="00692093" w:rsidP="0006003C">
      <w:pPr>
        <w:jc w:val="both"/>
        <w:rPr>
          <w:i/>
          <w:sz w:val="28"/>
          <w:szCs w:val="28"/>
        </w:rPr>
      </w:pPr>
      <w:r w:rsidRPr="00EE1606">
        <w:rPr>
          <w:b/>
          <w:i/>
          <w:sz w:val="28"/>
          <w:szCs w:val="28"/>
        </w:rPr>
        <w:lastRenderedPageBreak/>
        <w:t>Метод и путь введения</w:t>
      </w:r>
    </w:p>
    <w:p w14:paraId="5E3E0C36" w14:textId="77777777" w:rsidR="00692093" w:rsidRPr="00EE1606" w:rsidRDefault="00BC3823" w:rsidP="0006003C">
      <w:pPr>
        <w:jc w:val="both"/>
        <w:rPr>
          <w:sz w:val="28"/>
          <w:szCs w:val="28"/>
        </w:rPr>
      </w:pPr>
      <w:r w:rsidRPr="00EE1606">
        <w:rPr>
          <w:sz w:val="28"/>
          <w:szCs w:val="28"/>
        </w:rPr>
        <w:t xml:space="preserve">Для </w:t>
      </w:r>
      <w:proofErr w:type="spellStart"/>
      <w:r w:rsidRPr="00EE1606">
        <w:rPr>
          <w:sz w:val="28"/>
          <w:szCs w:val="28"/>
        </w:rPr>
        <w:t>интраназального</w:t>
      </w:r>
      <w:proofErr w:type="spellEnd"/>
      <w:r w:rsidR="00692093" w:rsidRPr="00EE1606">
        <w:rPr>
          <w:sz w:val="28"/>
          <w:szCs w:val="28"/>
        </w:rPr>
        <w:t xml:space="preserve"> применения.</w:t>
      </w:r>
    </w:p>
    <w:p w14:paraId="5E3E0C37" w14:textId="77777777" w:rsidR="00BB6E2E" w:rsidRPr="00EE1606" w:rsidRDefault="00BB6E2E" w:rsidP="0006003C">
      <w:pPr>
        <w:jc w:val="both"/>
        <w:rPr>
          <w:sz w:val="28"/>
          <w:szCs w:val="28"/>
        </w:rPr>
      </w:pPr>
    </w:p>
    <w:p w14:paraId="5E3E0C38" w14:textId="77777777" w:rsidR="00BB6E2E" w:rsidRPr="00EE1606" w:rsidRDefault="0020734D" w:rsidP="00384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E1606">
        <w:rPr>
          <w:i/>
          <w:sz w:val="28"/>
          <w:szCs w:val="28"/>
        </w:rPr>
        <w:t>Инструкции по использованию ингалятора</w:t>
      </w:r>
      <w:r w:rsidRPr="00EE1606">
        <w:rPr>
          <w:sz w:val="28"/>
          <w:szCs w:val="28"/>
        </w:rPr>
        <w:t>:</w:t>
      </w:r>
    </w:p>
    <w:p w14:paraId="5E3E0C39" w14:textId="77777777" w:rsidR="00BB6E2E" w:rsidRPr="00EE1606" w:rsidRDefault="0020734D" w:rsidP="00A64287">
      <w:pPr>
        <w:pStyle w:val="a6"/>
        <w:numPr>
          <w:ilvl w:val="0"/>
          <w:numId w:val="2"/>
        </w:numPr>
        <w:tabs>
          <w:tab w:val="left" w:pos="284"/>
        </w:tabs>
        <w:ind w:hanging="720"/>
        <w:rPr>
          <w:rFonts w:ascii="Times New Roman" w:hAnsi="Times New Roman"/>
          <w:szCs w:val="28"/>
        </w:rPr>
      </w:pPr>
      <w:r w:rsidRPr="00EE1606">
        <w:rPr>
          <w:rFonts w:ascii="Times New Roman" w:hAnsi="Times New Roman"/>
          <w:szCs w:val="28"/>
        </w:rPr>
        <w:t>Встряхните флакон и снимите пылезащитный колпачок</w:t>
      </w:r>
      <w:r w:rsidR="0038492A" w:rsidRPr="00EE1606">
        <w:rPr>
          <w:rFonts w:ascii="Times New Roman" w:hAnsi="Times New Roman"/>
          <w:szCs w:val="28"/>
        </w:rPr>
        <w:t xml:space="preserve"> </w:t>
      </w:r>
      <w:r w:rsidRPr="00EE1606">
        <w:rPr>
          <w:rFonts w:ascii="Times New Roman" w:hAnsi="Times New Roman"/>
          <w:szCs w:val="28"/>
        </w:rPr>
        <w:t>(Рисунок 1)</w:t>
      </w:r>
      <w:r w:rsidR="0038492A" w:rsidRPr="00EE1606">
        <w:rPr>
          <w:rFonts w:ascii="Times New Roman" w:hAnsi="Times New Roman"/>
          <w:szCs w:val="28"/>
        </w:rPr>
        <w:t>.</w:t>
      </w:r>
    </w:p>
    <w:p w14:paraId="5E3E0C3A" w14:textId="77777777" w:rsidR="00BB6E2E" w:rsidRPr="00EE1606" w:rsidRDefault="00167E02" w:rsidP="0006003C">
      <w:pPr>
        <w:jc w:val="both"/>
        <w:rPr>
          <w:noProof/>
          <w:sz w:val="28"/>
          <w:szCs w:val="28"/>
          <w:lang w:eastAsia="ru-RU"/>
        </w:rPr>
      </w:pPr>
      <w:r w:rsidRPr="00EE1606">
        <w:rPr>
          <w:noProof/>
          <w:sz w:val="28"/>
          <w:szCs w:val="28"/>
          <w:lang w:eastAsia="ru-RU"/>
        </w:rPr>
        <w:drawing>
          <wp:anchor distT="0" distB="0" distL="114300" distR="114300" simplePos="0" relativeHeight="251658240" behindDoc="0" locked="0" layoutInCell="1" allowOverlap="1" wp14:anchorId="5E3E0C93" wp14:editId="5E3E0C94">
            <wp:simplePos x="1082040" y="2560320"/>
            <wp:positionH relativeFrom="column">
              <wp:align>left</wp:align>
            </wp:positionH>
            <wp:positionV relativeFrom="paragraph">
              <wp:align>top</wp:align>
            </wp:positionV>
            <wp:extent cx="865505" cy="932815"/>
            <wp:effectExtent l="0" t="0" r="0" b="63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5505" cy="932815"/>
                    </a:xfrm>
                    <a:prstGeom prst="rect">
                      <a:avLst/>
                    </a:prstGeom>
                    <a:noFill/>
                  </pic:spPr>
                </pic:pic>
              </a:graphicData>
            </a:graphic>
          </wp:anchor>
        </w:drawing>
      </w:r>
      <w:r w:rsidR="00A64287" w:rsidRPr="00EE1606">
        <w:rPr>
          <w:noProof/>
          <w:sz w:val="28"/>
          <w:szCs w:val="28"/>
          <w:lang w:eastAsia="ru-RU"/>
        </w:rPr>
        <w:br w:type="textWrapping" w:clear="all"/>
      </w:r>
      <w:r w:rsidR="0020734D" w:rsidRPr="00EE1606">
        <w:rPr>
          <w:noProof/>
          <w:sz w:val="28"/>
          <w:szCs w:val="28"/>
          <w:lang w:eastAsia="ru-RU"/>
        </w:rPr>
        <w:t>(Рисунок 1)</w:t>
      </w:r>
    </w:p>
    <w:p w14:paraId="5E3E0C3B" w14:textId="77777777" w:rsidR="00BB6E2E" w:rsidRPr="00EE1606" w:rsidRDefault="0020734D" w:rsidP="0006003C">
      <w:pPr>
        <w:jc w:val="both"/>
        <w:rPr>
          <w:noProof/>
          <w:sz w:val="28"/>
          <w:szCs w:val="28"/>
          <w:lang w:eastAsia="ru-RU"/>
        </w:rPr>
      </w:pPr>
      <w:r w:rsidRPr="00EE1606">
        <w:rPr>
          <w:noProof/>
          <w:sz w:val="28"/>
          <w:szCs w:val="28"/>
          <w:lang w:eastAsia="ru-RU"/>
        </w:rPr>
        <w:t>2. Осторожно высморкайтесь.</w:t>
      </w:r>
    </w:p>
    <w:p w14:paraId="5E3E0C3C" w14:textId="77777777" w:rsidR="00BB6E2E" w:rsidRPr="00EE1606" w:rsidRDefault="0020734D" w:rsidP="0006003C">
      <w:pPr>
        <w:jc w:val="both"/>
        <w:rPr>
          <w:noProof/>
          <w:sz w:val="28"/>
          <w:szCs w:val="28"/>
          <w:lang w:eastAsia="ru-RU"/>
        </w:rPr>
      </w:pPr>
      <w:r w:rsidRPr="00EE1606">
        <w:rPr>
          <w:noProof/>
          <w:sz w:val="28"/>
          <w:szCs w:val="28"/>
          <w:lang w:eastAsia="ru-RU"/>
        </w:rPr>
        <w:t>3. Закройте одну ноздрю и вставьте наконечник в другую ноздрю, как показано на рисунке 2. Слегка наклоните голову вперед, держа флакон в вертикальном положении.</w:t>
      </w:r>
    </w:p>
    <w:p w14:paraId="5E3E0C3D" w14:textId="77777777" w:rsidR="00BB6E2E" w:rsidRPr="00EE1606" w:rsidRDefault="00167E02" w:rsidP="0006003C">
      <w:pPr>
        <w:jc w:val="both"/>
        <w:rPr>
          <w:noProof/>
          <w:sz w:val="28"/>
          <w:szCs w:val="28"/>
          <w:lang w:eastAsia="ru-RU"/>
        </w:rPr>
      </w:pPr>
      <w:r w:rsidRPr="00EE1606">
        <w:rPr>
          <w:noProof/>
          <w:sz w:val="28"/>
          <w:szCs w:val="28"/>
          <w:lang w:eastAsia="ru-RU"/>
        </w:rPr>
        <w:drawing>
          <wp:inline distT="0" distB="0" distL="0" distR="0" wp14:anchorId="5E3E0C95" wp14:editId="5E3E0C96">
            <wp:extent cx="951230" cy="1017905"/>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1230" cy="1017905"/>
                    </a:xfrm>
                    <a:prstGeom prst="rect">
                      <a:avLst/>
                    </a:prstGeom>
                    <a:noFill/>
                  </pic:spPr>
                </pic:pic>
              </a:graphicData>
            </a:graphic>
          </wp:inline>
        </w:drawing>
      </w:r>
    </w:p>
    <w:p w14:paraId="5E3E0C3E" w14:textId="77777777" w:rsidR="00BB6E2E" w:rsidRPr="00EE1606" w:rsidRDefault="0020734D" w:rsidP="0006003C">
      <w:pPr>
        <w:jc w:val="both"/>
        <w:rPr>
          <w:noProof/>
          <w:sz w:val="28"/>
          <w:szCs w:val="28"/>
          <w:lang w:eastAsia="ru-RU"/>
        </w:rPr>
      </w:pPr>
      <w:r w:rsidRPr="00EE1606">
        <w:rPr>
          <w:noProof/>
          <w:sz w:val="28"/>
          <w:szCs w:val="28"/>
          <w:lang w:eastAsia="ru-RU"/>
        </w:rPr>
        <w:t xml:space="preserve"> (Рисунок 2)</w:t>
      </w:r>
    </w:p>
    <w:p w14:paraId="5E3E0C3F" w14:textId="77777777" w:rsidR="00BB6E2E" w:rsidRPr="00EE1606" w:rsidRDefault="0020734D" w:rsidP="0006003C">
      <w:pPr>
        <w:jc w:val="both"/>
        <w:rPr>
          <w:noProof/>
          <w:sz w:val="28"/>
          <w:szCs w:val="28"/>
          <w:lang w:eastAsia="ru-RU"/>
        </w:rPr>
      </w:pPr>
      <w:r w:rsidRPr="00EE1606">
        <w:rPr>
          <w:noProof/>
          <w:sz w:val="28"/>
          <w:szCs w:val="28"/>
          <w:lang w:eastAsia="ru-RU"/>
        </w:rPr>
        <w:t>4. Начните вдыхать мягко и медленно через нос и, пока вдыхаете, впрысните спрей в нос, нажимая 1 раз.</w:t>
      </w:r>
    </w:p>
    <w:p w14:paraId="5E3E0C40" w14:textId="77777777" w:rsidR="00BB6E2E" w:rsidRPr="00EE1606" w:rsidRDefault="0020734D" w:rsidP="0006003C">
      <w:pPr>
        <w:jc w:val="both"/>
        <w:rPr>
          <w:noProof/>
          <w:sz w:val="28"/>
          <w:szCs w:val="28"/>
          <w:lang w:eastAsia="ru-RU"/>
        </w:rPr>
      </w:pPr>
      <w:r w:rsidRPr="00EE1606">
        <w:rPr>
          <w:noProof/>
          <w:sz w:val="28"/>
          <w:szCs w:val="28"/>
          <w:lang w:eastAsia="ru-RU"/>
        </w:rPr>
        <w:t>5. Выдохните через рот. Повторите шаг 4, чтобы сделать второе нажатие в ту же ноздрю, если это необходимо.</w:t>
      </w:r>
    </w:p>
    <w:p w14:paraId="5E3E0C41" w14:textId="77777777" w:rsidR="00BB6E2E" w:rsidRPr="00EE1606" w:rsidRDefault="0020734D" w:rsidP="0006003C">
      <w:pPr>
        <w:jc w:val="both"/>
        <w:rPr>
          <w:noProof/>
          <w:sz w:val="28"/>
          <w:szCs w:val="28"/>
          <w:lang w:eastAsia="ru-RU"/>
        </w:rPr>
      </w:pPr>
      <w:r w:rsidRPr="00EE1606">
        <w:rPr>
          <w:noProof/>
          <w:sz w:val="28"/>
          <w:szCs w:val="28"/>
          <w:lang w:eastAsia="ru-RU"/>
        </w:rPr>
        <w:t>6. Уберите наконечник с этого носового хода и выдохните через рот.</w:t>
      </w:r>
    </w:p>
    <w:p w14:paraId="5E3E0C42" w14:textId="77777777" w:rsidR="00BB6E2E" w:rsidRPr="00EE1606" w:rsidRDefault="0020734D" w:rsidP="0006003C">
      <w:pPr>
        <w:jc w:val="both"/>
        <w:rPr>
          <w:noProof/>
          <w:sz w:val="28"/>
          <w:szCs w:val="28"/>
          <w:lang w:eastAsia="ru-RU"/>
        </w:rPr>
      </w:pPr>
      <w:r w:rsidRPr="00EE1606">
        <w:rPr>
          <w:noProof/>
          <w:sz w:val="28"/>
          <w:szCs w:val="28"/>
          <w:lang w:eastAsia="ru-RU"/>
        </w:rPr>
        <w:t>7. Повторите шаги с 3 по 6 для другого носового хода.</w:t>
      </w:r>
    </w:p>
    <w:p w14:paraId="5E3E0C43" w14:textId="77777777" w:rsidR="00BB6E2E" w:rsidRPr="00EE1606" w:rsidRDefault="0020734D" w:rsidP="0006003C">
      <w:pPr>
        <w:jc w:val="both"/>
        <w:rPr>
          <w:noProof/>
          <w:sz w:val="28"/>
          <w:szCs w:val="28"/>
          <w:lang w:eastAsia="ru-RU"/>
        </w:rPr>
      </w:pPr>
      <w:r w:rsidRPr="00EE1606">
        <w:rPr>
          <w:noProof/>
          <w:sz w:val="28"/>
          <w:szCs w:val="28"/>
          <w:lang w:eastAsia="ru-RU"/>
        </w:rPr>
        <w:t xml:space="preserve">После использования спрея тщательно протрите наконечник </w:t>
      </w:r>
      <w:r w:rsidR="00530B90" w:rsidRPr="00EE1606">
        <w:rPr>
          <w:noProof/>
          <w:sz w:val="28"/>
          <w:szCs w:val="28"/>
          <w:lang w:eastAsia="ru-RU"/>
        </w:rPr>
        <w:t>чистой</w:t>
      </w:r>
      <w:r w:rsidRPr="00EE1606">
        <w:rPr>
          <w:noProof/>
          <w:sz w:val="28"/>
          <w:szCs w:val="28"/>
          <w:lang w:eastAsia="ru-RU"/>
        </w:rPr>
        <w:t xml:space="preserve"> салфеткой и наденьте пылезащитный колпачок. (Рисунок 3).</w:t>
      </w:r>
    </w:p>
    <w:p w14:paraId="5E3E0C44" w14:textId="77777777" w:rsidR="00BB6E2E" w:rsidRPr="00EE1606" w:rsidRDefault="00167E02" w:rsidP="0006003C">
      <w:pPr>
        <w:jc w:val="both"/>
        <w:rPr>
          <w:noProof/>
          <w:sz w:val="28"/>
          <w:szCs w:val="28"/>
          <w:lang w:eastAsia="ru-RU"/>
        </w:rPr>
      </w:pPr>
      <w:r w:rsidRPr="00EE1606">
        <w:rPr>
          <w:noProof/>
          <w:sz w:val="28"/>
          <w:szCs w:val="28"/>
          <w:lang w:eastAsia="ru-RU"/>
        </w:rPr>
        <w:drawing>
          <wp:inline distT="0" distB="0" distL="0" distR="0" wp14:anchorId="5E3E0C97" wp14:editId="5E3E0C98">
            <wp:extent cx="865505" cy="932815"/>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5505" cy="932815"/>
                    </a:xfrm>
                    <a:prstGeom prst="rect">
                      <a:avLst/>
                    </a:prstGeom>
                    <a:noFill/>
                  </pic:spPr>
                </pic:pic>
              </a:graphicData>
            </a:graphic>
          </wp:inline>
        </w:drawing>
      </w:r>
    </w:p>
    <w:p w14:paraId="5E3E0C45" w14:textId="77777777" w:rsidR="00BB6E2E" w:rsidRPr="00EE1606" w:rsidRDefault="0020734D" w:rsidP="0006003C">
      <w:pPr>
        <w:jc w:val="both"/>
        <w:rPr>
          <w:noProof/>
          <w:sz w:val="28"/>
          <w:szCs w:val="28"/>
          <w:lang w:eastAsia="ru-RU"/>
        </w:rPr>
      </w:pPr>
      <w:r w:rsidRPr="00EE1606">
        <w:rPr>
          <w:noProof/>
          <w:sz w:val="28"/>
          <w:szCs w:val="28"/>
          <w:lang w:eastAsia="ru-RU"/>
        </w:rPr>
        <w:t xml:space="preserve"> (Рисунок 3)</w:t>
      </w:r>
    </w:p>
    <w:p w14:paraId="5E3E0C46" w14:textId="77777777" w:rsidR="00BB6E2E" w:rsidRPr="00EE1606" w:rsidRDefault="0020734D" w:rsidP="0006003C">
      <w:pPr>
        <w:jc w:val="both"/>
        <w:rPr>
          <w:sz w:val="28"/>
          <w:szCs w:val="28"/>
        </w:rPr>
      </w:pPr>
      <w:r w:rsidRPr="00EE1606">
        <w:rPr>
          <w:sz w:val="28"/>
          <w:szCs w:val="28"/>
        </w:rPr>
        <w:t>Встряхивайте флакон перед каждым использованием. Флакон следует выбросить после указанного количества нажатий (120 доз).</w:t>
      </w:r>
    </w:p>
    <w:p w14:paraId="5E3E0C47" w14:textId="77777777" w:rsidR="00692093" w:rsidRPr="00EE1606" w:rsidRDefault="00BC3823" w:rsidP="00726F9E">
      <w:pPr>
        <w:spacing w:before="120"/>
        <w:jc w:val="both"/>
        <w:rPr>
          <w:i/>
          <w:sz w:val="28"/>
          <w:szCs w:val="28"/>
        </w:rPr>
      </w:pPr>
      <w:r w:rsidRPr="00EE1606">
        <w:rPr>
          <w:i/>
          <w:sz w:val="28"/>
          <w:szCs w:val="28"/>
        </w:rPr>
        <w:t>Очистка назального спрея</w:t>
      </w:r>
    </w:p>
    <w:p w14:paraId="5E3E0C48" w14:textId="77777777" w:rsidR="00BC3823" w:rsidRPr="00EE1606" w:rsidRDefault="00BC3823" w:rsidP="0006003C">
      <w:pPr>
        <w:jc w:val="both"/>
        <w:rPr>
          <w:sz w:val="28"/>
          <w:szCs w:val="28"/>
        </w:rPr>
      </w:pPr>
      <w:r w:rsidRPr="00EE1606">
        <w:rPr>
          <w:sz w:val="28"/>
          <w:szCs w:val="28"/>
        </w:rPr>
        <w:t>• Важно регулярно чистить спрей для носа; иначе он может не работать должным образом.</w:t>
      </w:r>
    </w:p>
    <w:p w14:paraId="5E3E0C49" w14:textId="77777777" w:rsidR="00BC3823" w:rsidRPr="00EE1606" w:rsidRDefault="00BC3823" w:rsidP="0006003C">
      <w:pPr>
        <w:jc w:val="both"/>
        <w:rPr>
          <w:sz w:val="28"/>
          <w:szCs w:val="28"/>
        </w:rPr>
      </w:pPr>
      <w:r w:rsidRPr="00EE1606">
        <w:rPr>
          <w:sz w:val="28"/>
          <w:szCs w:val="28"/>
        </w:rPr>
        <w:t>• Снимите пылезащитный колпачок и осторожно снимите наконечник.</w:t>
      </w:r>
    </w:p>
    <w:p w14:paraId="5E3E0C4A" w14:textId="77777777" w:rsidR="00BC3823" w:rsidRPr="00EE1606" w:rsidRDefault="00BC3823" w:rsidP="0006003C">
      <w:pPr>
        <w:jc w:val="both"/>
        <w:rPr>
          <w:sz w:val="28"/>
          <w:szCs w:val="28"/>
        </w:rPr>
      </w:pPr>
      <w:r w:rsidRPr="00EE1606">
        <w:rPr>
          <w:sz w:val="28"/>
          <w:szCs w:val="28"/>
        </w:rPr>
        <w:t>• Вымойте наконечник и пылезащитный колпачок в теплой воде, а затем промойте под струей воды.</w:t>
      </w:r>
    </w:p>
    <w:p w14:paraId="5E3E0C4B" w14:textId="77777777" w:rsidR="00BC3823" w:rsidRPr="00EE1606" w:rsidRDefault="00BC3823" w:rsidP="0006003C">
      <w:pPr>
        <w:jc w:val="both"/>
        <w:rPr>
          <w:sz w:val="28"/>
          <w:szCs w:val="28"/>
        </w:rPr>
      </w:pPr>
      <w:r w:rsidRPr="00EE1606">
        <w:rPr>
          <w:sz w:val="28"/>
          <w:szCs w:val="28"/>
        </w:rPr>
        <w:lastRenderedPageBreak/>
        <w:t>• Не пытайтесь убрать назальный аппликатор, вставив булавку или другой острый предмет, так как это повредит аппликатор и приведет к тому, что вы не получите нужную дозу лекарства.</w:t>
      </w:r>
    </w:p>
    <w:p w14:paraId="5E3E0C4C" w14:textId="77777777" w:rsidR="00BC3823" w:rsidRPr="00EE1606" w:rsidRDefault="00BC3823" w:rsidP="0006003C">
      <w:pPr>
        <w:jc w:val="both"/>
        <w:rPr>
          <w:sz w:val="28"/>
          <w:szCs w:val="28"/>
        </w:rPr>
      </w:pPr>
      <w:r w:rsidRPr="00EE1606">
        <w:rPr>
          <w:sz w:val="28"/>
          <w:szCs w:val="28"/>
        </w:rPr>
        <w:t>• Дайте колпачку и наконечнику высохнуть в теплом месте.</w:t>
      </w:r>
    </w:p>
    <w:p w14:paraId="5E3E0C4D" w14:textId="77777777" w:rsidR="00BC3823" w:rsidRPr="00EE1606" w:rsidRDefault="00BC3823" w:rsidP="0006003C">
      <w:pPr>
        <w:jc w:val="both"/>
        <w:rPr>
          <w:sz w:val="28"/>
          <w:szCs w:val="28"/>
        </w:rPr>
      </w:pPr>
      <w:r w:rsidRPr="00EE1606">
        <w:rPr>
          <w:sz w:val="28"/>
          <w:szCs w:val="28"/>
        </w:rPr>
        <w:t>• Наденьте наконечник обратно на флакон и закройте пылезащитный колпачок.</w:t>
      </w:r>
    </w:p>
    <w:p w14:paraId="5E3E0C4E" w14:textId="77777777" w:rsidR="00BC3823" w:rsidRPr="00EE1606" w:rsidRDefault="00BC3823" w:rsidP="0006003C">
      <w:pPr>
        <w:jc w:val="both"/>
        <w:rPr>
          <w:sz w:val="28"/>
          <w:szCs w:val="28"/>
        </w:rPr>
      </w:pPr>
      <w:r w:rsidRPr="00EE1606">
        <w:rPr>
          <w:sz w:val="28"/>
          <w:szCs w:val="28"/>
        </w:rPr>
        <w:t>• При первом использовании после очистки необходимо снова распылить 2 дозы для калибровки.</w:t>
      </w:r>
    </w:p>
    <w:p w14:paraId="5E3E0C4F" w14:textId="77777777" w:rsidR="00692093" w:rsidRPr="00EE1606" w:rsidRDefault="00692093" w:rsidP="0006003C">
      <w:pPr>
        <w:jc w:val="both"/>
        <w:rPr>
          <w:b/>
          <w:i/>
          <w:sz w:val="28"/>
          <w:szCs w:val="28"/>
        </w:rPr>
      </w:pPr>
      <w:r w:rsidRPr="00EE1606">
        <w:rPr>
          <w:b/>
          <w:bCs/>
          <w:i/>
          <w:sz w:val="28"/>
          <w:szCs w:val="28"/>
        </w:rPr>
        <w:t>Меры, которые необходимо принять в случае передозировки</w:t>
      </w:r>
    </w:p>
    <w:p w14:paraId="5E3E0C50" w14:textId="77777777" w:rsidR="00BC3823" w:rsidRPr="00EE1606" w:rsidRDefault="00BC3823" w:rsidP="0038492A">
      <w:pPr>
        <w:jc w:val="both"/>
        <w:rPr>
          <w:sz w:val="28"/>
          <w:szCs w:val="28"/>
        </w:rPr>
      </w:pPr>
      <w:r w:rsidRPr="00EE1606">
        <w:rPr>
          <w:sz w:val="28"/>
          <w:szCs w:val="28"/>
        </w:rPr>
        <w:t>Вследствие малой (≤</w:t>
      </w:r>
      <w:r w:rsidR="00C94149" w:rsidRPr="00EE1606">
        <w:rPr>
          <w:sz w:val="28"/>
          <w:szCs w:val="28"/>
        </w:rPr>
        <w:t xml:space="preserve"> </w:t>
      </w:r>
      <w:r w:rsidRPr="00EE1606">
        <w:rPr>
          <w:sz w:val="28"/>
          <w:szCs w:val="28"/>
        </w:rPr>
        <w:t>0.1</w:t>
      </w:r>
      <w:r w:rsidR="00C94149" w:rsidRPr="00EE1606">
        <w:rPr>
          <w:sz w:val="28"/>
          <w:szCs w:val="28"/>
        </w:rPr>
        <w:t xml:space="preserve"> </w:t>
      </w:r>
      <w:r w:rsidRPr="00EE1606">
        <w:rPr>
          <w:sz w:val="28"/>
          <w:szCs w:val="28"/>
        </w:rPr>
        <w:t xml:space="preserve">%) системной </w:t>
      </w:r>
      <w:proofErr w:type="spellStart"/>
      <w:r w:rsidRPr="00EE1606">
        <w:rPr>
          <w:sz w:val="28"/>
          <w:szCs w:val="28"/>
        </w:rPr>
        <w:t>биодоступности</w:t>
      </w:r>
      <w:proofErr w:type="spellEnd"/>
      <w:r w:rsidRPr="00EE1606">
        <w:rPr>
          <w:sz w:val="28"/>
          <w:szCs w:val="28"/>
        </w:rPr>
        <w:t xml:space="preserve"> препарата </w:t>
      </w:r>
      <w:proofErr w:type="spellStart"/>
      <w:r w:rsidRPr="00EE1606">
        <w:rPr>
          <w:sz w:val="28"/>
          <w:szCs w:val="28"/>
        </w:rPr>
        <w:t>Момат</w:t>
      </w:r>
      <w:proofErr w:type="spellEnd"/>
      <w:r w:rsidRPr="00EE1606">
        <w:rPr>
          <w:sz w:val="28"/>
          <w:szCs w:val="28"/>
        </w:rPr>
        <w:t xml:space="preserve"> Рино передозировка маловероятна (при использовании чувствительного метода определения с порогом чувствительности 0.25 </w:t>
      </w:r>
      <w:proofErr w:type="spellStart"/>
      <w:r w:rsidRPr="00EE1606">
        <w:rPr>
          <w:sz w:val="28"/>
          <w:szCs w:val="28"/>
        </w:rPr>
        <w:t>пг</w:t>
      </w:r>
      <w:proofErr w:type="spellEnd"/>
      <w:r w:rsidRPr="00EE1606">
        <w:rPr>
          <w:sz w:val="28"/>
          <w:szCs w:val="28"/>
        </w:rPr>
        <w:t xml:space="preserve">/мл). В </w:t>
      </w:r>
      <w:proofErr w:type="gramStart"/>
      <w:r w:rsidRPr="00EE1606">
        <w:rPr>
          <w:sz w:val="28"/>
          <w:szCs w:val="28"/>
        </w:rPr>
        <w:t>случае</w:t>
      </w:r>
      <w:proofErr w:type="gramEnd"/>
      <w:r w:rsidRPr="00EE1606">
        <w:rPr>
          <w:sz w:val="28"/>
          <w:szCs w:val="28"/>
        </w:rPr>
        <w:t xml:space="preserve"> передозировки необходимо наблюдение </w:t>
      </w:r>
      <w:r w:rsidR="00565E32" w:rsidRPr="00EE1606">
        <w:rPr>
          <w:sz w:val="28"/>
          <w:szCs w:val="28"/>
        </w:rPr>
        <w:t xml:space="preserve">пациента </w:t>
      </w:r>
      <w:r w:rsidRPr="00EE1606">
        <w:rPr>
          <w:sz w:val="28"/>
          <w:szCs w:val="28"/>
        </w:rPr>
        <w:t xml:space="preserve">с последующим применением препарата в рекомендуемой дозе. Ингаляция или прием внутрь высоких доз кортикостероидов может привести к подавлению гипоталамо-гипофизарно-надпочечниковой системы. </w:t>
      </w:r>
    </w:p>
    <w:p w14:paraId="5E3E0C51" w14:textId="77777777" w:rsidR="0038492A" w:rsidRPr="00EE1606" w:rsidRDefault="0038492A" w:rsidP="0038492A">
      <w:pPr>
        <w:jc w:val="both"/>
        <w:rPr>
          <w:b/>
          <w:i/>
          <w:color w:val="000000"/>
          <w:sz w:val="28"/>
          <w:szCs w:val="28"/>
        </w:rPr>
      </w:pPr>
      <w:r w:rsidRPr="00EE1606">
        <w:rPr>
          <w:b/>
          <w:i/>
          <w:color w:val="000000"/>
          <w:sz w:val="28"/>
          <w:szCs w:val="28"/>
        </w:rPr>
        <w:t>Рекомендации по обращению за консультацией к медицинскому работнику для разъяснения способа применения лекарственного препарата</w:t>
      </w:r>
    </w:p>
    <w:p w14:paraId="5E3E0C52" w14:textId="77777777" w:rsidR="0038492A" w:rsidRPr="0040564C" w:rsidRDefault="0038492A" w:rsidP="0038492A">
      <w:pPr>
        <w:jc w:val="both"/>
        <w:rPr>
          <w:sz w:val="28"/>
          <w:szCs w:val="28"/>
          <w:lang w:bidi="ru-RU"/>
        </w:rPr>
      </w:pPr>
      <w:r w:rsidRPr="00EE1606">
        <w:rPr>
          <w:sz w:val="28"/>
          <w:szCs w:val="28"/>
          <w:lang w:bidi="ru-RU"/>
        </w:rPr>
        <w:t>Необходимо обратиться за консультацией к врачу для разъяснения способа пр</w:t>
      </w:r>
      <w:r w:rsidRPr="0040564C">
        <w:rPr>
          <w:sz w:val="28"/>
          <w:szCs w:val="28"/>
          <w:lang w:bidi="ru-RU"/>
        </w:rPr>
        <w:t>именения лекарственного препарата.</w:t>
      </w:r>
    </w:p>
    <w:p w14:paraId="5E3E0C53" w14:textId="77777777" w:rsidR="0038492A" w:rsidRPr="0040564C" w:rsidRDefault="0038492A" w:rsidP="0038492A">
      <w:pPr>
        <w:jc w:val="both"/>
        <w:rPr>
          <w:rFonts w:eastAsia="Times New Roman"/>
          <w:b/>
          <w:i/>
          <w:sz w:val="28"/>
          <w:szCs w:val="28"/>
          <w:lang w:eastAsia="ru-RU"/>
        </w:rPr>
      </w:pPr>
    </w:p>
    <w:p w14:paraId="5E3E0C54" w14:textId="77777777" w:rsidR="00692093" w:rsidRPr="0040564C" w:rsidRDefault="00692093" w:rsidP="0038492A">
      <w:pPr>
        <w:jc w:val="both"/>
        <w:rPr>
          <w:b/>
          <w:bCs/>
          <w:sz w:val="28"/>
          <w:szCs w:val="28"/>
        </w:rPr>
      </w:pPr>
      <w:r w:rsidRPr="0040564C">
        <w:rPr>
          <w:b/>
          <w:bCs/>
          <w:sz w:val="28"/>
          <w:szCs w:val="28"/>
        </w:rPr>
        <w:t xml:space="preserve">Описание нежелательных реакций, </w:t>
      </w:r>
      <w:r w:rsidRPr="0040564C">
        <w:rPr>
          <w:b/>
          <w:color w:val="000000"/>
          <w:sz w:val="28"/>
          <w:szCs w:val="28"/>
        </w:rPr>
        <w:t>которые проявляются при стандартном применении ЛП и меры, которые сле</w:t>
      </w:r>
      <w:r w:rsidR="006044B5" w:rsidRPr="0040564C">
        <w:rPr>
          <w:b/>
          <w:color w:val="000000"/>
          <w:sz w:val="28"/>
          <w:szCs w:val="28"/>
        </w:rPr>
        <w:t>дует принять в этом случае</w:t>
      </w:r>
    </w:p>
    <w:p w14:paraId="5E3E0C55" w14:textId="77777777" w:rsidR="0038492A" w:rsidRPr="00EE1606" w:rsidRDefault="0038492A" w:rsidP="0038492A">
      <w:pPr>
        <w:autoSpaceDE w:val="0"/>
        <w:autoSpaceDN w:val="0"/>
        <w:adjustRightInd w:val="0"/>
        <w:jc w:val="both"/>
        <w:rPr>
          <w:sz w:val="28"/>
          <w:szCs w:val="28"/>
        </w:rPr>
      </w:pPr>
      <w:r w:rsidRPr="00EE1606">
        <w:rPr>
          <w:i/>
          <w:sz w:val="28"/>
          <w:szCs w:val="28"/>
        </w:rPr>
        <w:t xml:space="preserve">Очень часто </w:t>
      </w:r>
      <w:r w:rsidR="00153532" w:rsidRPr="00EE1606">
        <w:rPr>
          <w:i/>
          <w:sz w:val="28"/>
          <w:szCs w:val="28"/>
          <w:lang w:bidi="ru-RU"/>
        </w:rPr>
        <w:t>(≥1/10)</w:t>
      </w:r>
    </w:p>
    <w:p w14:paraId="5E3E0C56" w14:textId="77777777" w:rsidR="0038492A" w:rsidRPr="00EE1606" w:rsidRDefault="0038492A" w:rsidP="0038492A">
      <w:pPr>
        <w:autoSpaceDE w:val="0"/>
        <w:autoSpaceDN w:val="0"/>
        <w:adjustRightInd w:val="0"/>
        <w:jc w:val="both"/>
        <w:rPr>
          <w:sz w:val="28"/>
          <w:szCs w:val="28"/>
        </w:rPr>
      </w:pPr>
      <w:r w:rsidRPr="00EE1606">
        <w:rPr>
          <w:sz w:val="28"/>
          <w:szCs w:val="28"/>
        </w:rPr>
        <w:t>- носовое кровотечение</w:t>
      </w:r>
      <w:proofErr w:type="gramStart"/>
      <w:r w:rsidRPr="00EE1606">
        <w:rPr>
          <w:sz w:val="28"/>
          <w:szCs w:val="28"/>
          <w:vertAlign w:val="superscript"/>
        </w:rPr>
        <w:t>1</w:t>
      </w:r>
      <w:proofErr w:type="gramEnd"/>
    </w:p>
    <w:p w14:paraId="5E3E0C57" w14:textId="77777777" w:rsidR="00EE73BD" w:rsidRDefault="00EE73BD" w:rsidP="0038492A">
      <w:pPr>
        <w:autoSpaceDE w:val="0"/>
        <w:autoSpaceDN w:val="0"/>
        <w:adjustRightInd w:val="0"/>
        <w:jc w:val="both"/>
        <w:rPr>
          <w:i/>
          <w:sz w:val="28"/>
          <w:szCs w:val="28"/>
        </w:rPr>
      </w:pPr>
      <w:r w:rsidRPr="00EE1606">
        <w:rPr>
          <w:i/>
          <w:sz w:val="28"/>
          <w:szCs w:val="28"/>
        </w:rPr>
        <w:t xml:space="preserve">Часто </w:t>
      </w:r>
      <w:r w:rsidR="00153532" w:rsidRPr="00EE1606">
        <w:rPr>
          <w:i/>
          <w:sz w:val="28"/>
          <w:szCs w:val="28"/>
        </w:rPr>
        <w:t>(≥ 1/100, &lt; 1/10)</w:t>
      </w:r>
    </w:p>
    <w:p w14:paraId="534EF434" w14:textId="1F49D738" w:rsidR="00A74B2E" w:rsidRDefault="00A74B2E" w:rsidP="0038492A">
      <w:pPr>
        <w:autoSpaceDE w:val="0"/>
        <w:autoSpaceDN w:val="0"/>
        <w:adjustRightInd w:val="0"/>
        <w:jc w:val="both"/>
        <w:rPr>
          <w:sz w:val="28"/>
          <w:szCs w:val="28"/>
          <w:vertAlign w:val="superscript"/>
        </w:rPr>
      </w:pPr>
      <w:r>
        <w:rPr>
          <w:sz w:val="28"/>
          <w:szCs w:val="28"/>
        </w:rPr>
        <w:t xml:space="preserve">- </w:t>
      </w:r>
      <w:r w:rsidRPr="00EE1606">
        <w:rPr>
          <w:sz w:val="28"/>
          <w:szCs w:val="28"/>
        </w:rPr>
        <w:t>фарингит,</w:t>
      </w:r>
      <w:r w:rsidRPr="00A74B2E">
        <w:rPr>
          <w:sz w:val="28"/>
          <w:szCs w:val="28"/>
        </w:rPr>
        <w:t xml:space="preserve"> </w:t>
      </w:r>
      <w:r w:rsidRPr="00EE1606">
        <w:rPr>
          <w:sz w:val="28"/>
          <w:szCs w:val="28"/>
        </w:rPr>
        <w:t>инфекци</w:t>
      </w:r>
      <w:r w:rsidR="002515D5">
        <w:rPr>
          <w:sz w:val="28"/>
          <w:szCs w:val="28"/>
        </w:rPr>
        <w:t>и</w:t>
      </w:r>
      <w:r w:rsidRPr="00EE1606">
        <w:rPr>
          <w:sz w:val="28"/>
          <w:szCs w:val="28"/>
        </w:rPr>
        <w:t xml:space="preserve"> верхних дыхательных путей</w:t>
      </w:r>
      <w:r w:rsidR="002515D5">
        <w:rPr>
          <w:sz w:val="28"/>
          <w:szCs w:val="28"/>
          <w:vertAlign w:val="superscript"/>
        </w:rPr>
        <w:t>*</w:t>
      </w:r>
    </w:p>
    <w:p w14:paraId="1D195024" w14:textId="77777777" w:rsidR="00A14AA0" w:rsidRPr="00EE1606" w:rsidRDefault="00A14AA0" w:rsidP="00A14AA0">
      <w:pPr>
        <w:autoSpaceDE w:val="0"/>
        <w:autoSpaceDN w:val="0"/>
        <w:adjustRightInd w:val="0"/>
        <w:jc w:val="both"/>
        <w:rPr>
          <w:sz w:val="28"/>
          <w:szCs w:val="28"/>
        </w:rPr>
      </w:pPr>
      <w:r w:rsidRPr="00EE1606">
        <w:rPr>
          <w:sz w:val="28"/>
          <w:szCs w:val="28"/>
        </w:rPr>
        <w:t xml:space="preserve">- головная боль </w:t>
      </w:r>
    </w:p>
    <w:p w14:paraId="31EDA1D7" w14:textId="3D7F7E30" w:rsidR="00A14AA0" w:rsidRDefault="0040564C" w:rsidP="0038492A">
      <w:pPr>
        <w:autoSpaceDE w:val="0"/>
        <w:autoSpaceDN w:val="0"/>
        <w:adjustRightInd w:val="0"/>
        <w:jc w:val="both"/>
        <w:rPr>
          <w:rFonts w:eastAsia="Times New Roman"/>
          <w:sz w:val="28"/>
          <w:szCs w:val="28"/>
        </w:rPr>
      </w:pPr>
      <w:r w:rsidRPr="00500895">
        <w:rPr>
          <w:rFonts w:eastAsia="Times New Roman"/>
          <w:sz w:val="28"/>
          <w:szCs w:val="28"/>
        </w:rPr>
        <w:t>- носовые кровотечения (т.е. явное кровотечение, а также выделение окрашенной кровью слизи или сгустков крови), ощущение жжения в носу, раздражение слизистой оболочки носа, изъязвление слизистой оболочки носа</w:t>
      </w:r>
    </w:p>
    <w:p w14:paraId="565DF27D" w14:textId="5A2B690A" w:rsidR="00124AEE" w:rsidRPr="000D5C80" w:rsidRDefault="00124AEE" w:rsidP="0038492A">
      <w:pPr>
        <w:autoSpaceDE w:val="0"/>
        <w:autoSpaceDN w:val="0"/>
        <w:adjustRightInd w:val="0"/>
        <w:jc w:val="both"/>
        <w:rPr>
          <w:rFonts w:eastAsia="Times New Roman"/>
          <w:sz w:val="28"/>
          <w:szCs w:val="28"/>
        </w:rPr>
      </w:pPr>
      <w:r w:rsidRPr="00500895">
        <w:rPr>
          <w:rFonts w:eastAsia="Times New Roman"/>
          <w:sz w:val="28"/>
          <w:szCs w:val="28"/>
        </w:rPr>
        <w:t>- раздражение глотки (ощущение раздражения слизистой оболочки глотки)**</w:t>
      </w:r>
    </w:p>
    <w:p w14:paraId="54971FCE" w14:textId="77777777" w:rsidR="00563F13" w:rsidRPr="000D5C80" w:rsidRDefault="00563F13" w:rsidP="0038492A">
      <w:pPr>
        <w:autoSpaceDE w:val="0"/>
        <w:autoSpaceDN w:val="0"/>
        <w:adjustRightInd w:val="0"/>
        <w:jc w:val="both"/>
        <w:rPr>
          <w:i/>
          <w:sz w:val="28"/>
          <w:szCs w:val="28"/>
        </w:rPr>
      </w:pPr>
    </w:p>
    <w:p w14:paraId="5E3E0C5D" w14:textId="77777777" w:rsidR="00EE73BD" w:rsidRDefault="00EE73BD">
      <w:pPr>
        <w:autoSpaceDE w:val="0"/>
        <w:autoSpaceDN w:val="0"/>
        <w:adjustRightInd w:val="0"/>
        <w:jc w:val="both"/>
        <w:rPr>
          <w:i/>
          <w:sz w:val="28"/>
          <w:szCs w:val="28"/>
        </w:rPr>
      </w:pPr>
      <w:r w:rsidRPr="00EE1606">
        <w:rPr>
          <w:i/>
          <w:sz w:val="28"/>
          <w:szCs w:val="28"/>
        </w:rPr>
        <w:t>Неизвестно</w:t>
      </w:r>
    </w:p>
    <w:p w14:paraId="3A259225" w14:textId="0E1C33C9" w:rsidR="00755887" w:rsidRDefault="00755887">
      <w:pPr>
        <w:autoSpaceDE w:val="0"/>
        <w:autoSpaceDN w:val="0"/>
        <w:adjustRightInd w:val="0"/>
        <w:jc w:val="both"/>
        <w:rPr>
          <w:sz w:val="28"/>
          <w:szCs w:val="28"/>
          <w:lang w:val="kk-KZ"/>
        </w:rPr>
      </w:pPr>
      <w:r w:rsidRPr="00500895">
        <w:rPr>
          <w:rFonts w:eastAsia="Times New Roman"/>
          <w:sz w:val="28"/>
          <w:szCs w:val="28"/>
        </w:rPr>
        <w:t xml:space="preserve">- реакции повышенной чувствительности, включая анафилактические реакции, ангионевротический отек, </w:t>
      </w:r>
      <w:proofErr w:type="spellStart"/>
      <w:r w:rsidRPr="00500895">
        <w:rPr>
          <w:rFonts w:eastAsia="Times New Roman"/>
          <w:sz w:val="28"/>
          <w:szCs w:val="28"/>
        </w:rPr>
        <w:t>бронхоспазм</w:t>
      </w:r>
      <w:proofErr w:type="spellEnd"/>
      <w:r w:rsidRPr="00500895">
        <w:rPr>
          <w:rFonts w:eastAsia="Times New Roman"/>
          <w:sz w:val="28"/>
          <w:szCs w:val="28"/>
        </w:rPr>
        <w:t xml:space="preserve">, </w:t>
      </w:r>
      <w:r w:rsidRPr="00500895">
        <w:rPr>
          <w:sz w:val="28"/>
          <w:szCs w:val="28"/>
          <w:lang w:val="kk-KZ"/>
        </w:rPr>
        <w:t>диспноэ</w:t>
      </w:r>
    </w:p>
    <w:p w14:paraId="60E26E5E" w14:textId="05585AAE" w:rsidR="00052104" w:rsidRDefault="00052104">
      <w:pPr>
        <w:autoSpaceDE w:val="0"/>
        <w:autoSpaceDN w:val="0"/>
        <w:adjustRightInd w:val="0"/>
        <w:jc w:val="both"/>
        <w:rPr>
          <w:rFonts w:eastAsia="Times New Roman"/>
          <w:sz w:val="28"/>
          <w:szCs w:val="28"/>
        </w:rPr>
      </w:pPr>
      <w:r w:rsidRPr="00500895">
        <w:rPr>
          <w:rFonts w:eastAsia="Times New Roman"/>
          <w:sz w:val="28"/>
          <w:szCs w:val="28"/>
        </w:rPr>
        <w:t>- повышение внутриглазного давления, глаукома, катаракта, нечеткое зрение</w:t>
      </w:r>
    </w:p>
    <w:p w14:paraId="44974FB1" w14:textId="0DF5E8A8" w:rsidR="00C37E27" w:rsidRDefault="00C37E27">
      <w:pPr>
        <w:autoSpaceDE w:val="0"/>
        <w:autoSpaceDN w:val="0"/>
        <w:adjustRightInd w:val="0"/>
        <w:jc w:val="both"/>
        <w:rPr>
          <w:rFonts w:eastAsia="Times New Roman"/>
          <w:sz w:val="28"/>
          <w:szCs w:val="28"/>
        </w:rPr>
      </w:pPr>
      <w:r>
        <w:rPr>
          <w:rFonts w:eastAsia="Times New Roman"/>
          <w:sz w:val="28"/>
          <w:szCs w:val="28"/>
        </w:rPr>
        <w:t xml:space="preserve">- </w:t>
      </w:r>
      <w:r w:rsidRPr="00500895">
        <w:rPr>
          <w:rFonts w:eastAsia="Times New Roman"/>
          <w:sz w:val="28"/>
          <w:szCs w:val="28"/>
        </w:rPr>
        <w:t>перфорация носовой перегородки</w:t>
      </w:r>
    </w:p>
    <w:p w14:paraId="28A2B97C" w14:textId="33184436" w:rsidR="003D19B9" w:rsidRPr="003D19B9" w:rsidRDefault="003D19B9">
      <w:pPr>
        <w:autoSpaceDE w:val="0"/>
        <w:autoSpaceDN w:val="0"/>
        <w:adjustRightInd w:val="0"/>
        <w:jc w:val="both"/>
        <w:rPr>
          <w:i/>
          <w:sz w:val="28"/>
          <w:szCs w:val="28"/>
        </w:rPr>
      </w:pPr>
      <w:r w:rsidRPr="003D19B9">
        <w:rPr>
          <w:rFonts w:eastAsia="Times New Roman"/>
          <w:sz w:val="28"/>
          <w:szCs w:val="28"/>
        </w:rPr>
        <w:t xml:space="preserve">- </w:t>
      </w:r>
      <w:r w:rsidRPr="00500895">
        <w:rPr>
          <w:rFonts w:eastAsia="Times New Roman"/>
          <w:sz w:val="28"/>
          <w:szCs w:val="28"/>
        </w:rPr>
        <w:t>нарушения вкуса и обоняния</w:t>
      </w:r>
    </w:p>
    <w:p w14:paraId="40FFB68E" w14:textId="4A684366" w:rsidR="00621C67" w:rsidRPr="008D2DD2" w:rsidRDefault="00621C67" w:rsidP="00621C67">
      <w:pPr>
        <w:spacing w:before="75" w:after="75"/>
        <w:rPr>
          <w:rFonts w:eastAsia="Times New Roman"/>
          <w:color w:val="333333"/>
          <w:sz w:val="20"/>
          <w:szCs w:val="20"/>
        </w:rPr>
      </w:pPr>
      <w:r w:rsidRPr="008D2DD2">
        <w:rPr>
          <w:rFonts w:eastAsia="Times New Roman"/>
          <w:color w:val="333333"/>
          <w:sz w:val="20"/>
          <w:szCs w:val="20"/>
        </w:rPr>
        <w:t xml:space="preserve">* </w:t>
      </w:r>
      <w:r>
        <w:rPr>
          <w:rFonts w:eastAsia="Times New Roman"/>
          <w:color w:val="333333"/>
          <w:sz w:val="20"/>
          <w:szCs w:val="20"/>
        </w:rPr>
        <w:t>в</w:t>
      </w:r>
      <w:r w:rsidRPr="008D2DD2">
        <w:rPr>
          <w:rFonts w:eastAsia="Times New Roman"/>
          <w:color w:val="333333"/>
          <w:sz w:val="20"/>
          <w:szCs w:val="20"/>
        </w:rPr>
        <w:t>ыявлено с частотой "редко" при применении препарата 2 раза/</w:t>
      </w:r>
      <w:proofErr w:type="spellStart"/>
      <w:r w:rsidRPr="008D2DD2">
        <w:rPr>
          <w:rFonts w:eastAsia="Times New Roman"/>
          <w:color w:val="333333"/>
          <w:sz w:val="20"/>
          <w:szCs w:val="20"/>
        </w:rPr>
        <w:t>сут</w:t>
      </w:r>
      <w:proofErr w:type="spellEnd"/>
      <w:r w:rsidRPr="008D2DD2">
        <w:rPr>
          <w:rFonts w:eastAsia="Times New Roman"/>
          <w:color w:val="333333"/>
          <w:sz w:val="20"/>
          <w:szCs w:val="20"/>
        </w:rPr>
        <w:t xml:space="preserve"> при </w:t>
      </w:r>
      <w:proofErr w:type="spellStart"/>
      <w:r w:rsidRPr="008D2DD2">
        <w:rPr>
          <w:rFonts w:eastAsia="Times New Roman"/>
          <w:color w:val="333333"/>
          <w:sz w:val="20"/>
          <w:szCs w:val="20"/>
        </w:rPr>
        <w:t>полипозе</w:t>
      </w:r>
      <w:proofErr w:type="spellEnd"/>
      <w:r w:rsidRPr="008D2DD2">
        <w:rPr>
          <w:rFonts w:eastAsia="Times New Roman"/>
          <w:color w:val="333333"/>
          <w:sz w:val="20"/>
          <w:szCs w:val="20"/>
        </w:rPr>
        <w:t xml:space="preserve"> носа.</w:t>
      </w:r>
    </w:p>
    <w:p w14:paraId="2D0B3264" w14:textId="5E32D436" w:rsidR="00621C67" w:rsidRPr="008D2DD2" w:rsidRDefault="00621C67" w:rsidP="00621C67">
      <w:pPr>
        <w:spacing w:before="75" w:after="75"/>
        <w:rPr>
          <w:rFonts w:eastAsia="Times New Roman"/>
          <w:color w:val="333333"/>
          <w:sz w:val="20"/>
          <w:szCs w:val="20"/>
        </w:rPr>
      </w:pPr>
      <w:r w:rsidRPr="008D2DD2">
        <w:rPr>
          <w:rFonts w:eastAsia="Times New Roman"/>
          <w:color w:val="333333"/>
          <w:sz w:val="20"/>
          <w:szCs w:val="20"/>
        </w:rPr>
        <w:lastRenderedPageBreak/>
        <w:t xml:space="preserve">** </w:t>
      </w:r>
      <w:r>
        <w:rPr>
          <w:rFonts w:eastAsia="Times New Roman"/>
          <w:color w:val="333333"/>
          <w:sz w:val="20"/>
          <w:szCs w:val="20"/>
        </w:rPr>
        <w:t>в</w:t>
      </w:r>
      <w:r w:rsidRPr="008D2DD2">
        <w:rPr>
          <w:rFonts w:eastAsia="Times New Roman"/>
          <w:color w:val="333333"/>
          <w:sz w:val="20"/>
          <w:szCs w:val="20"/>
        </w:rPr>
        <w:t>ыявлено при применении препарата 2 раза/</w:t>
      </w:r>
      <w:proofErr w:type="spellStart"/>
      <w:r w:rsidRPr="008D2DD2">
        <w:rPr>
          <w:rFonts w:eastAsia="Times New Roman"/>
          <w:color w:val="333333"/>
          <w:sz w:val="20"/>
          <w:szCs w:val="20"/>
        </w:rPr>
        <w:t>сут</w:t>
      </w:r>
      <w:proofErr w:type="spellEnd"/>
      <w:r w:rsidRPr="008D2DD2">
        <w:rPr>
          <w:rFonts w:eastAsia="Times New Roman"/>
          <w:color w:val="333333"/>
          <w:sz w:val="20"/>
          <w:szCs w:val="20"/>
        </w:rPr>
        <w:t xml:space="preserve"> при </w:t>
      </w:r>
      <w:proofErr w:type="spellStart"/>
      <w:r w:rsidRPr="008D2DD2">
        <w:rPr>
          <w:rFonts w:eastAsia="Times New Roman"/>
          <w:color w:val="333333"/>
          <w:sz w:val="20"/>
          <w:szCs w:val="20"/>
        </w:rPr>
        <w:t>полипозе</w:t>
      </w:r>
      <w:proofErr w:type="spellEnd"/>
      <w:r w:rsidRPr="008D2DD2">
        <w:rPr>
          <w:rFonts w:eastAsia="Times New Roman"/>
          <w:color w:val="333333"/>
          <w:sz w:val="20"/>
          <w:szCs w:val="20"/>
        </w:rPr>
        <w:t xml:space="preserve"> носа.</w:t>
      </w:r>
    </w:p>
    <w:p w14:paraId="5E3E0C66" w14:textId="77777777" w:rsidR="00EE73BD" w:rsidRPr="00EE1606" w:rsidRDefault="00EE73BD" w:rsidP="00EE73BD">
      <w:pPr>
        <w:autoSpaceDE w:val="0"/>
        <w:autoSpaceDN w:val="0"/>
        <w:adjustRightInd w:val="0"/>
        <w:jc w:val="both"/>
        <w:rPr>
          <w:i/>
          <w:sz w:val="28"/>
          <w:szCs w:val="28"/>
        </w:rPr>
      </w:pPr>
      <w:r w:rsidRPr="00EE1606">
        <w:rPr>
          <w:i/>
          <w:sz w:val="28"/>
          <w:szCs w:val="28"/>
        </w:rPr>
        <w:t>Дети</w:t>
      </w:r>
    </w:p>
    <w:p w14:paraId="5E3E0C67" w14:textId="3AB514AD" w:rsidR="00EE73BD" w:rsidRPr="00EE1606" w:rsidRDefault="00015EBE" w:rsidP="00EE73BD">
      <w:pPr>
        <w:autoSpaceDE w:val="0"/>
        <w:autoSpaceDN w:val="0"/>
        <w:adjustRightInd w:val="0"/>
        <w:jc w:val="both"/>
        <w:rPr>
          <w:sz w:val="28"/>
          <w:szCs w:val="28"/>
        </w:rPr>
      </w:pPr>
      <w:r w:rsidRPr="00EE1606">
        <w:rPr>
          <w:sz w:val="28"/>
          <w:szCs w:val="28"/>
        </w:rPr>
        <w:t>Из-за риска замедления роста у детей</w:t>
      </w:r>
      <w:r w:rsidR="00EE73BD" w:rsidRPr="00EE1606">
        <w:rPr>
          <w:sz w:val="28"/>
          <w:szCs w:val="28"/>
        </w:rPr>
        <w:t xml:space="preserve"> следует контролировать рост.</w:t>
      </w:r>
    </w:p>
    <w:p w14:paraId="5E3E0C68" w14:textId="77777777" w:rsidR="00EE73BD" w:rsidRPr="00EE1606" w:rsidRDefault="00EE73BD" w:rsidP="00EE73BD">
      <w:pPr>
        <w:autoSpaceDE w:val="0"/>
        <w:autoSpaceDN w:val="0"/>
        <w:adjustRightInd w:val="0"/>
        <w:jc w:val="both"/>
        <w:rPr>
          <w:sz w:val="28"/>
          <w:szCs w:val="28"/>
        </w:rPr>
      </w:pPr>
      <w:r w:rsidRPr="00EE1606">
        <w:rPr>
          <w:i/>
          <w:sz w:val="28"/>
          <w:szCs w:val="28"/>
        </w:rPr>
        <w:t xml:space="preserve">Нарушения со стороны дыхательной системы, органов грудной клетки и средостения: </w:t>
      </w:r>
      <w:r w:rsidRPr="00EE1606">
        <w:rPr>
          <w:sz w:val="28"/>
          <w:szCs w:val="28"/>
        </w:rPr>
        <w:t>носовые кровотечения (6</w:t>
      </w:r>
      <w:r w:rsidR="009E362A" w:rsidRPr="00EE1606">
        <w:rPr>
          <w:sz w:val="28"/>
          <w:szCs w:val="28"/>
        </w:rPr>
        <w:t xml:space="preserve"> </w:t>
      </w:r>
      <w:r w:rsidRPr="00EE1606">
        <w:rPr>
          <w:sz w:val="28"/>
          <w:szCs w:val="28"/>
        </w:rPr>
        <w:t>%), раздражение слизистой оболочки носа (2</w:t>
      </w:r>
      <w:r w:rsidR="009E362A" w:rsidRPr="00EE1606">
        <w:rPr>
          <w:sz w:val="28"/>
          <w:szCs w:val="28"/>
        </w:rPr>
        <w:t xml:space="preserve"> </w:t>
      </w:r>
      <w:r w:rsidRPr="00EE1606">
        <w:rPr>
          <w:sz w:val="28"/>
          <w:szCs w:val="28"/>
        </w:rPr>
        <w:t>%), чиханье (2</w:t>
      </w:r>
      <w:r w:rsidR="009E362A" w:rsidRPr="00EE1606">
        <w:rPr>
          <w:sz w:val="28"/>
          <w:szCs w:val="28"/>
        </w:rPr>
        <w:t xml:space="preserve"> </w:t>
      </w:r>
      <w:r w:rsidRPr="00EE1606">
        <w:rPr>
          <w:sz w:val="28"/>
          <w:szCs w:val="28"/>
        </w:rPr>
        <w:t>%).</w:t>
      </w:r>
    </w:p>
    <w:p w14:paraId="5E3E0C69" w14:textId="77777777" w:rsidR="00EE73BD" w:rsidRPr="00EE1606" w:rsidRDefault="00EE73BD" w:rsidP="006044B5">
      <w:pPr>
        <w:autoSpaceDE w:val="0"/>
        <w:autoSpaceDN w:val="0"/>
        <w:adjustRightInd w:val="0"/>
        <w:jc w:val="both"/>
        <w:rPr>
          <w:i/>
          <w:sz w:val="28"/>
          <w:szCs w:val="28"/>
        </w:rPr>
      </w:pPr>
    </w:p>
    <w:p w14:paraId="5E3E0C6A" w14:textId="77777777" w:rsidR="00692093" w:rsidRPr="00EE1606" w:rsidRDefault="00692093" w:rsidP="0038492A">
      <w:pPr>
        <w:jc w:val="both"/>
        <w:rPr>
          <w:rFonts w:eastAsia="Times New Roman"/>
          <w:b/>
          <w:i/>
          <w:sz w:val="28"/>
          <w:szCs w:val="28"/>
          <w:lang w:eastAsia="ru-RU"/>
        </w:rPr>
      </w:pPr>
      <w:r w:rsidRPr="00EE1606">
        <w:rPr>
          <w:rFonts w:eastAsia="Times New Roman"/>
          <w:b/>
          <w:sz w:val="28"/>
          <w:szCs w:val="28"/>
          <w:lang w:eastAsia="ru-RU"/>
        </w:rPr>
        <w:t xml:space="preserve">При возникновении нежелательных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 </w:t>
      </w:r>
    </w:p>
    <w:p w14:paraId="5E3E0C6B" w14:textId="77777777" w:rsidR="00692093" w:rsidRPr="00EE1606" w:rsidRDefault="00692093">
      <w:pPr>
        <w:jc w:val="both"/>
        <w:rPr>
          <w:rFonts w:eastAsia="Times New Roman"/>
          <w:sz w:val="28"/>
          <w:szCs w:val="28"/>
          <w:lang w:eastAsia="ru-RU"/>
        </w:rPr>
      </w:pPr>
      <w:r w:rsidRPr="00EE1606">
        <w:rPr>
          <w:rFonts w:eastAsia="Times New Roman"/>
          <w:sz w:val="28"/>
          <w:szCs w:val="28"/>
          <w:lang w:eastAsia="ru-RU"/>
        </w:rPr>
        <w:t>РГП на ПХВ «Национальный Центр экспертизы лекарственных средств и медицинских изделий» Комитет</w:t>
      </w:r>
      <w:r w:rsidR="00E7150C">
        <w:rPr>
          <w:rFonts w:eastAsia="Times New Roman"/>
          <w:sz w:val="28"/>
          <w:szCs w:val="28"/>
          <w:lang w:eastAsia="ru-RU"/>
        </w:rPr>
        <w:t xml:space="preserve">а медицинского и фармацевтического </w:t>
      </w:r>
      <w:r w:rsidRPr="00EE1606">
        <w:rPr>
          <w:rFonts w:eastAsia="Times New Roman"/>
          <w:sz w:val="28"/>
          <w:szCs w:val="28"/>
          <w:lang w:eastAsia="ru-RU"/>
        </w:rPr>
        <w:t xml:space="preserve"> контроля Министерства здравоохранения Республики Казахстан </w:t>
      </w:r>
      <w:r w:rsidRPr="00EE1606">
        <w:rPr>
          <w:rFonts w:eastAsia="Times New Roman"/>
          <w:sz w:val="28"/>
          <w:szCs w:val="28"/>
          <w:lang w:val="en-US" w:eastAsia="ru-RU"/>
        </w:rPr>
        <w:t>http</w:t>
      </w:r>
      <w:r w:rsidRPr="00EE1606">
        <w:rPr>
          <w:rFonts w:eastAsia="Times New Roman"/>
          <w:sz w:val="28"/>
          <w:szCs w:val="28"/>
          <w:lang w:eastAsia="ru-RU"/>
        </w:rPr>
        <w:t>://</w:t>
      </w:r>
      <w:r w:rsidRPr="00EE1606">
        <w:rPr>
          <w:rFonts w:eastAsia="Times New Roman"/>
          <w:sz w:val="28"/>
          <w:szCs w:val="28"/>
          <w:lang w:val="en-US" w:eastAsia="ru-RU"/>
        </w:rPr>
        <w:t>www</w:t>
      </w:r>
      <w:r w:rsidRPr="00EE1606">
        <w:rPr>
          <w:rFonts w:eastAsia="Times New Roman"/>
          <w:sz w:val="28"/>
          <w:szCs w:val="28"/>
          <w:lang w:eastAsia="ru-RU"/>
        </w:rPr>
        <w:t>.</w:t>
      </w:r>
      <w:proofErr w:type="spellStart"/>
      <w:r w:rsidRPr="00EE1606">
        <w:rPr>
          <w:rFonts w:eastAsia="Times New Roman"/>
          <w:sz w:val="28"/>
          <w:szCs w:val="28"/>
          <w:lang w:val="en-US" w:eastAsia="ru-RU"/>
        </w:rPr>
        <w:t>ndda</w:t>
      </w:r>
      <w:proofErr w:type="spellEnd"/>
      <w:r w:rsidRPr="00EE1606">
        <w:rPr>
          <w:rFonts w:eastAsia="Times New Roman"/>
          <w:sz w:val="28"/>
          <w:szCs w:val="28"/>
          <w:lang w:eastAsia="ru-RU"/>
        </w:rPr>
        <w:t>.</w:t>
      </w:r>
      <w:proofErr w:type="spellStart"/>
      <w:r w:rsidRPr="00EE1606">
        <w:rPr>
          <w:rFonts w:eastAsia="Times New Roman"/>
          <w:sz w:val="28"/>
          <w:szCs w:val="28"/>
          <w:lang w:val="en-US" w:eastAsia="ru-RU"/>
        </w:rPr>
        <w:t>kz</w:t>
      </w:r>
      <w:proofErr w:type="spellEnd"/>
    </w:p>
    <w:p w14:paraId="5E3E0C6C" w14:textId="77777777" w:rsidR="00692093" w:rsidRPr="00EE1606" w:rsidRDefault="00692093" w:rsidP="0006003C">
      <w:pPr>
        <w:jc w:val="both"/>
        <w:rPr>
          <w:b/>
          <w:sz w:val="28"/>
          <w:szCs w:val="28"/>
        </w:rPr>
      </w:pPr>
    </w:p>
    <w:p w14:paraId="5E3E0C6D" w14:textId="77777777" w:rsidR="00692093" w:rsidRPr="00EE1606" w:rsidRDefault="00692093" w:rsidP="0038492A">
      <w:pPr>
        <w:pStyle w:val="a8"/>
        <w:jc w:val="both"/>
        <w:rPr>
          <w:rFonts w:ascii="Times New Roman" w:eastAsia="Times New Roman" w:hAnsi="Times New Roman"/>
          <w:b/>
          <w:sz w:val="28"/>
          <w:szCs w:val="28"/>
          <w:lang w:eastAsia="ru-RU"/>
        </w:rPr>
      </w:pPr>
      <w:r w:rsidRPr="00EE1606">
        <w:rPr>
          <w:rFonts w:ascii="Times New Roman" w:eastAsia="Times New Roman" w:hAnsi="Times New Roman"/>
          <w:b/>
          <w:sz w:val="28"/>
          <w:szCs w:val="28"/>
          <w:lang w:eastAsia="ru-RU"/>
        </w:rPr>
        <w:t>Дополнительные сведения</w:t>
      </w:r>
    </w:p>
    <w:p w14:paraId="5E3E0C6E" w14:textId="77777777" w:rsidR="0038492A" w:rsidRPr="00EE1606" w:rsidRDefault="0038492A" w:rsidP="0038492A">
      <w:pPr>
        <w:pStyle w:val="a8"/>
        <w:jc w:val="both"/>
        <w:rPr>
          <w:rFonts w:ascii="Times New Roman" w:eastAsia="Times New Roman" w:hAnsi="Times New Roman"/>
          <w:b/>
          <w:i/>
          <w:sz w:val="28"/>
          <w:szCs w:val="28"/>
          <w:lang w:eastAsia="ru-RU"/>
        </w:rPr>
      </w:pPr>
      <w:r w:rsidRPr="00EE1606">
        <w:rPr>
          <w:rFonts w:ascii="Times New Roman" w:eastAsia="Times New Roman" w:hAnsi="Times New Roman"/>
          <w:b/>
          <w:i/>
          <w:sz w:val="28"/>
          <w:szCs w:val="28"/>
          <w:lang w:eastAsia="ru-RU"/>
        </w:rPr>
        <w:t>Состав лекарственного препарата</w:t>
      </w:r>
    </w:p>
    <w:p w14:paraId="5E3E0C6F" w14:textId="77777777" w:rsidR="0038492A" w:rsidRPr="00EE1606" w:rsidRDefault="0038492A" w:rsidP="0006003C">
      <w:pPr>
        <w:jc w:val="both"/>
        <w:rPr>
          <w:bCs/>
          <w:sz w:val="28"/>
          <w:szCs w:val="28"/>
        </w:rPr>
      </w:pPr>
      <w:r w:rsidRPr="00EE1606">
        <w:rPr>
          <w:bCs/>
          <w:sz w:val="28"/>
          <w:szCs w:val="28"/>
        </w:rPr>
        <w:t xml:space="preserve">1 г препарата содержит </w:t>
      </w:r>
    </w:p>
    <w:p w14:paraId="5E3E0C70" w14:textId="77777777" w:rsidR="0038492A" w:rsidRPr="00EE1606" w:rsidRDefault="0038492A" w:rsidP="0038492A">
      <w:pPr>
        <w:jc w:val="both"/>
        <w:rPr>
          <w:sz w:val="28"/>
          <w:szCs w:val="28"/>
        </w:rPr>
      </w:pPr>
      <w:proofErr w:type="gramStart"/>
      <w:r w:rsidRPr="00EE1606">
        <w:rPr>
          <w:bCs/>
          <w:i/>
          <w:sz w:val="28"/>
          <w:szCs w:val="28"/>
        </w:rPr>
        <w:t xml:space="preserve">активное вещество - </w:t>
      </w:r>
      <w:proofErr w:type="spellStart"/>
      <w:r w:rsidR="009E362A" w:rsidRPr="00EE1606">
        <w:rPr>
          <w:sz w:val="28"/>
          <w:szCs w:val="28"/>
        </w:rPr>
        <w:t>мометазона</w:t>
      </w:r>
      <w:proofErr w:type="spellEnd"/>
      <w:r w:rsidR="009E362A" w:rsidRPr="00EE1606">
        <w:rPr>
          <w:sz w:val="28"/>
          <w:szCs w:val="28"/>
        </w:rPr>
        <w:t xml:space="preserve"> </w:t>
      </w:r>
      <w:proofErr w:type="spellStart"/>
      <w:r w:rsidR="009E362A" w:rsidRPr="00EE1606">
        <w:rPr>
          <w:sz w:val="28"/>
          <w:szCs w:val="28"/>
        </w:rPr>
        <w:t>фуроат</w:t>
      </w:r>
      <w:proofErr w:type="spellEnd"/>
      <w:r w:rsidRPr="00EE1606">
        <w:rPr>
          <w:sz w:val="28"/>
          <w:szCs w:val="28"/>
        </w:rPr>
        <w:t xml:space="preserve"> моногидрат (эквивалентно   </w:t>
      </w:r>
      <w:proofErr w:type="gramEnd"/>
    </w:p>
    <w:p w14:paraId="5E3E0C71" w14:textId="77777777" w:rsidR="0038492A" w:rsidRPr="00EE1606" w:rsidRDefault="0038492A" w:rsidP="0038492A">
      <w:pPr>
        <w:jc w:val="both"/>
        <w:rPr>
          <w:sz w:val="28"/>
          <w:szCs w:val="28"/>
        </w:rPr>
      </w:pPr>
      <w:r w:rsidRPr="00EE1606">
        <w:rPr>
          <w:sz w:val="28"/>
          <w:szCs w:val="28"/>
        </w:rPr>
        <w:t xml:space="preserve">                                     </w:t>
      </w:r>
      <w:proofErr w:type="spellStart"/>
      <w:proofErr w:type="gramStart"/>
      <w:r w:rsidRPr="00EE1606">
        <w:rPr>
          <w:sz w:val="28"/>
          <w:szCs w:val="28"/>
        </w:rPr>
        <w:t>мометазону</w:t>
      </w:r>
      <w:proofErr w:type="spellEnd"/>
      <w:r w:rsidRPr="00EE1606">
        <w:rPr>
          <w:sz w:val="28"/>
          <w:szCs w:val="28"/>
        </w:rPr>
        <w:t xml:space="preserve"> </w:t>
      </w:r>
      <w:proofErr w:type="spellStart"/>
      <w:r w:rsidRPr="00EE1606">
        <w:rPr>
          <w:sz w:val="28"/>
          <w:szCs w:val="28"/>
        </w:rPr>
        <w:t>фуроату</w:t>
      </w:r>
      <w:proofErr w:type="spellEnd"/>
      <w:r w:rsidRPr="00EE1606">
        <w:rPr>
          <w:sz w:val="28"/>
          <w:szCs w:val="28"/>
        </w:rPr>
        <w:t>), 0.517 мг (0.500 мг),</w:t>
      </w:r>
      <w:proofErr w:type="gramEnd"/>
    </w:p>
    <w:p w14:paraId="5E3E0C72" w14:textId="77777777" w:rsidR="00EE73BD" w:rsidRPr="00EE1606" w:rsidRDefault="00EE73BD" w:rsidP="0038492A">
      <w:pPr>
        <w:jc w:val="both"/>
        <w:rPr>
          <w:bCs/>
          <w:sz w:val="28"/>
          <w:szCs w:val="28"/>
        </w:rPr>
      </w:pPr>
      <w:r w:rsidRPr="00EE1606">
        <w:rPr>
          <w:bCs/>
          <w:i/>
          <w:iCs/>
          <w:sz w:val="28"/>
          <w:szCs w:val="28"/>
        </w:rPr>
        <w:t xml:space="preserve">вспомогательные вещества: </w:t>
      </w:r>
      <w:proofErr w:type="spellStart"/>
      <w:r w:rsidRPr="00EE1606">
        <w:rPr>
          <w:bCs/>
          <w:iCs/>
          <w:sz w:val="28"/>
          <w:szCs w:val="28"/>
        </w:rPr>
        <w:t>авицел</w:t>
      </w:r>
      <w:proofErr w:type="spellEnd"/>
      <w:r w:rsidRPr="00EE1606">
        <w:rPr>
          <w:bCs/>
          <w:iCs/>
          <w:sz w:val="28"/>
          <w:szCs w:val="28"/>
        </w:rPr>
        <w:t xml:space="preserve"> RC-591 (целлюлоза микрокристаллическая, </w:t>
      </w:r>
      <w:proofErr w:type="spellStart"/>
      <w:r w:rsidRPr="00EE1606">
        <w:rPr>
          <w:bCs/>
          <w:iCs/>
          <w:sz w:val="28"/>
          <w:szCs w:val="28"/>
        </w:rPr>
        <w:t>карбоксиметилцеллюлоза</w:t>
      </w:r>
      <w:proofErr w:type="spellEnd"/>
      <w:r w:rsidRPr="00EE1606">
        <w:rPr>
          <w:bCs/>
          <w:iCs/>
          <w:sz w:val="28"/>
          <w:szCs w:val="28"/>
        </w:rPr>
        <w:t xml:space="preserve"> натрия), </w:t>
      </w:r>
      <w:proofErr w:type="spellStart"/>
      <w:r w:rsidRPr="00EE1606">
        <w:rPr>
          <w:bCs/>
          <w:iCs/>
          <w:sz w:val="28"/>
          <w:szCs w:val="28"/>
        </w:rPr>
        <w:t>глицерол</w:t>
      </w:r>
      <w:proofErr w:type="spellEnd"/>
      <w:r w:rsidRPr="00EE1606">
        <w:rPr>
          <w:bCs/>
          <w:iCs/>
          <w:sz w:val="28"/>
          <w:szCs w:val="28"/>
        </w:rPr>
        <w:t>, кислот</w:t>
      </w:r>
      <w:r w:rsidR="00180EDF" w:rsidRPr="00EE1606">
        <w:rPr>
          <w:bCs/>
          <w:iCs/>
          <w:sz w:val="28"/>
          <w:szCs w:val="28"/>
        </w:rPr>
        <w:t>а</w:t>
      </w:r>
      <w:r w:rsidRPr="00EE1606">
        <w:rPr>
          <w:bCs/>
          <w:iCs/>
          <w:sz w:val="28"/>
          <w:szCs w:val="28"/>
        </w:rPr>
        <w:t xml:space="preserve"> </w:t>
      </w:r>
      <w:r w:rsidR="00180EDF" w:rsidRPr="00EE1606">
        <w:rPr>
          <w:bCs/>
          <w:iCs/>
          <w:sz w:val="28"/>
          <w:szCs w:val="28"/>
        </w:rPr>
        <w:t xml:space="preserve">лимонная </w:t>
      </w:r>
      <w:r w:rsidRPr="00EE1606">
        <w:rPr>
          <w:bCs/>
          <w:iCs/>
          <w:sz w:val="28"/>
          <w:szCs w:val="28"/>
        </w:rPr>
        <w:t xml:space="preserve">моногидрат, натрия цитрат, </w:t>
      </w:r>
      <w:proofErr w:type="spellStart"/>
      <w:r w:rsidRPr="00EE1606">
        <w:rPr>
          <w:bCs/>
          <w:iCs/>
          <w:sz w:val="28"/>
          <w:szCs w:val="28"/>
        </w:rPr>
        <w:t>полисорбат</w:t>
      </w:r>
      <w:proofErr w:type="spellEnd"/>
      <w:r w:rsidR="001449D0" w:rsidRPr="00EE1606">
        <w:rPr>
          <w:bCs/>
          <w:iCs/>
          <w:sz w:val="28"/>
          <w:szCs w:val="28"/>
        </w:rPr>
        <w:t xml:space="preserve"> 80, </w:t>
      </w:r>
      <w:proofErr w:type="spellStart"/>
      <w:r w:rsidR="001449D0" w:rsidRPr="00EE1606">
        <w:rPr>
          <w:rFonts w:eastAsia="Times New Roman"/>
          <w:sz w:val="28"/>
          <w:szCs w:val="28"/>
          <w:lang w:eastAsia="ru-RU"/>
        </w:rPr>
        <w:t>бензалкония</w:t>
      </w:r>
      <w:proofErr w:type="spellEnd"/>
      <w:r w:rsidR="001449D0" w:rsidRPr="00EE1606">
        <w:rPr>
          <w:rFonts w:eastAsia="Times New Roman"/>
          <w:sz w:val="28"/>
          <w:szCs w:val="28"/>
          <w:lang w:eastAsia="ru-RU"/>
        </w:rPr>
        <w:t xml:space="preserve"> хлорид, вода очищенная.</w:t>
      </w:r>
    </w:p>
    <w:p w14:paraId="5E3E0C73" w14:textId="77777777" w:rsidR="00692093" w:rsidRPr="00EE1606" w:rsidRDefault="00692093">
      <w:pPr>
        <w:jc w:val="both"/>
        <w:rPr>
          <w:rFonts w:eastAsia="Times New Roman"/>
          <w:b/>
          <w:i/>
          <w:sz w:val="28"/>
          <w:szCs w:val="28"/>
          <w:lang w:eastAsia="ru-RU"/>
        </w:rPr>
      </w:pPr>
      <w:r w:rsidRPr="00EE1606">
        <w:rPr>
          <w:rFonts w:eastAsia="Times New Roman"/>
          <w:b/>
          <w:i/>
          <w:sz w:val="28"/>
          <w:szCs w:val="28"/>
          <w:lang w:eastAsia="ru-RU"/>
        </w:rPr>
        <w:t>Описание внешнего вида, запаха, вкуса</w:t>
      </w:r>
    </w:p>
    <w:p w14:paraId="5E3E0C74" w14:textId="77777777" w:rsidR="001449D0" w:rsidRPr="00EE1606" w:rsidRDefault="001449D0">
      <w:pPr>
        <w:jc w:val="both"/>
        <w:rPr>
          <w:b/>
          <w:sz w:val="28"/>
          <w:szCs w:val="28"/>
        </w:rPr>
      </w:pPr>
      <w:r w:rsidRPr="00EE1606">
        <w:rPr>
          <w:sz w:val="28"/>
          <w:szCs w:val="28"/>
        </w:rPr>
        <w:t>Полупрозрачная, густая суспензия от белого до беловатого цвета.</w:t>
      </w:r>
    </w:p>
    <w:p w14:paraId="5E3E0C75" w14:textId="77777777" w:rsidR="00692093" w:rsidRPr="00EE1606" w:rsidRDefault="001449D0">
      <w:pPr>
        <w:jc w:val="both"/>
        <w:rPr>
          <w:rFonts w:eastAsia="Times New Roman"/>
          <w:b/>
          <w:sz w:val="28"/>
          <w:szCs w:val="28"/>
          <w:lang w:eastAsia="ru-RU"/>
        </w:rPr>
      </w:pPr>
      <w:r w:rsidRPr="00EE1606">
        <w:rPr>
          <w:sz w:val="28"/>
          <w:szCs w:val="28"/>
        </w:rPr>
        <w:t xml:space="preserve"> </w:t>
      </w:r>
    </w:p>
    <w:p w14:paraId="5E3E0C76" w14:textId="77777777" w:rsidR="00692093" w:rsidRPr="00EE1606" w:rsidRDefault="00692093">
      <w:pPr>
        <w:jc w:val="both"/>
        <w:rPr>
          <w:rFonts w:eastAsia="Times New Roman"/>
          <w:b/>
          <w:sz w:val="28"/>
          <w:szCs w:val="28"/>
          <w:lang w:eastAsia="ru-RU"/>
        </w:rPr>
      </w:pPr>
      <w:r w:rsidRPr="00EE1606">
        <w:rPr>
          <w:rFonts w:eastAsia="Times New Roman"/>
          <w:b/>
          <w:sz w:val="28"/>
          <w:szCs w:val="28"/>
          <w:lang w:eastAsia="ru-RU"/>
        </w:rPr>
        <w:t>Форма выпуска и упаковка</w:t>
      </w:r>
    </w:p>
    <w:p w14:paraId="5E3E0C77" w14:textId="77777777" w:rsidR="001449D0" w:rsidRPr="00EE1606" w:rsidRDefault="001449D0">
      <w:pPr>
        <w:jc w:val="both"/>
        <w:rPr>
          <w:rFonts w:eastAsia="Times New Roman"/>
          <w:sz w:val="28"/>
          <w:szCs w:val="28"/>
          <w:lang w:eastAsia="ru-RU"/>
        </w:rPr>
      </w:pPr>
      <w:r w:rsidRPr="00EE1606">
        <w:rPr>
          <w:rFonts w:eastAsia="Times New Roman"/>
          <w:sz w:val="28"/>
          <w:szCs w:val="28"/>
          <w:lang w:eastAsia="ru-RU"/>
        </w:rPr>
        <w:t xml:space="preserve">По 60 доз или 120 доз препарата помещают во флаконы из полиэтилена высокой плотности, с дозатором и насадкой-распылителем с колпачком. </w:t>
      </w:r>
    </w:p>
    <w:p w14:paraId="5E3E0C78" w14:textId="77777777" w:rsidR="001449D0" w:rsidRPr="00EE1606" w:rsidRDefault="001449D0">
      <w:pPr>
        <w:jc w:val="both"/>
        <w:rPr>
          <w:rFonts w:eastAsia="Times New Roman"/>
          <w:sz w:val="28"/>
          <w:szCs w:val="28"/>
          <w:lang w:eastAsia="ru-RU"/>
        </w:rPr>
      </w:pPr>
      <w:r w:rsidRPr="00EE1606">
        <w:rPr>
          <w:rFonts w:eastAsia="Times New Roman"/>
          <w:sz w:val="28"/>
          <w:szCs w:val="28"/>
          <w:lang w:eastAsia="ru-RU"/>
        </w:rPr>
        <w:t xml:space="preserve">На флакон наклеивают этикетку. </w:t>
      </w:r>
      <w:r w:rsidRPr="00EE1606">
        <w:rPr>
          <w:rFonts w:eastAsia="Times New Roman"/>
          <w:sz w:val="28"/>
          <w:szCs w:val="28"/>
          <w:lang w:eastAsia="ru-RU"/>
        </w:rPr>
        <w:tab/>
      </w:r>
    </w:p>
    <w:p w14:paraId="5E3E0C79" w14:textId="77777777" w:rsidR="00692093" w:rsidRPr="00EE1606" w:rsidRDefault="001449D0">
      <w:pPr>
        <w:jc w:val="both"/>
        <w:rPr>
          <w:rFonts w:eastAsia="Times New Roman"/>
          <w:sz w:val="28"/>
          <w:szCs w:val="28"/>
          <w:lang w:eastAsia="ru-RU"/>
        </w:rPr>
      </w:pPr>
      <w:r w:rsidRPr="00EE1606">
        <w:rPr>
          <w:rFonts w:eastAsia="Times New Roman"/>
          <w:sz w:val="28"/>
          <w:szCs w:val="28"/>
          <w:lang w:eastAsia="ru-RU"/>
        </w:rPr>
        <w:t xml:space="preserve">По 1 флакону вместе с инструкцией по медицинскому применению на казахском и русском языках помещают в пачку картонную. </w:t>
      </w:r>
    </w:p>
    <w:p w14:paraId="5E3E0C7A" w14:textId="77777777" w:rsidR="00692093" w:rsidRPr="00EE1606" w:rsidRDefault="00692093" w:rsidP="0006003C">
      <w:pPr>
        <w:pStyle w:val="Default"/>
        <w:jc w:val="both"/>
        <w:rPr>
          <w:b/>
          <w:bCs/>
          <w:sz w:val="28"/>
          <w:szCs w:val="28"/>
        </w:rPr>
      </w:pPr>
    </w:p>
    <w:p w14:paraId="5E3E0C7B" w14:textId="77777777" w:rsidR="00692093" w:rsidRPr="00EE1606" w:rsidRDefault="00692093" w:rsidP="0006003C">
      <w:pPr>
        <w:pStyle w:val="Default"/>
        <w:jc w:val="both"/>
        <w:rPr>
          <w:sz w:val="28"/>
          <w:szCs w:val="28"/>
        </w:rPr>
      </w:pPr>
      <w:r w:rsidRPr="00EE1606">
        <w:rPr>
          <w:b/>
          <w:bCs/>
          <w:sz w:val="28"/>
          <w:szCs w:val="28"/>
        </w:rPr>
        <w:t>Срок хранения</w:t>
      </w:r>
    </w:p>
    <w:p w14:paraId="5E3E0C7C" w14:textId="77777777" w:rsidR="00692093" w:rsidRPr="00EE1606" w:rsidRDefault="00692093" w:rsidP="0006003C">
      <w:pPr>
        <w:pStyle w:val="Default"/>
        <w:jc w:val="both"/>
        <w:rPr>
          <w:sz w:val="28"/>
          <w:szCs w:val="28"/>
        </w:rPr>
      </w:pPr>
      <w:r w:rsidRPr="00EE1606">
        <w:rPr>
          <w:sz w:val="28"/>
          <w:szCs w:val="28"/>
        </w:rPr>
        <w:t xml:space="preserve">2 года </w:t>
      </w:r>
    </w:p>
    <w:p w14:paraId="5E3E0C7D" w14:textId="77777777" w:rsidR="00692093" w:rsidRPr="000D5C80" w:rsidRDefault="00692093" w:rsidP="0038492A">
      <w:pPr>
        <w:jc w:val="both"/>
        <w:rPr>
          <w:sz w:val="28"/>
          <w:szCs w:val="28"/>
        </w:rPr>
      </w:pPr>
      <w:r w:rsidRPr="00EE1606">
        <w:rPr>
          <w:sz w:val="28"/>
          <w:szCs w:val="28"/>
        </w:rPr>
        <w:t>Не применя</w:t>
      </w:r>
      <w:r w:rsidR="00883079" w:rsidRPr="00EE1606">
        <w:rPr>
          <w:sz w:val="28"/>
          <w:szCs w:val="28"/>
        </w:rPr>
        <w:t>ть по истечении срока годности!</w:t>
      </w:r>
    </w:p>
    <w:p w14:paraId="16755B6B" w14:textId="77777777" w:rsidR="00563F13" w:rsidRPr="000D5C80" w:rsidRDefault="00563F13" w:rsidP="0038492A">
      <w:pPr>
        <w:jc w:val="both"/>
        <w:rPr>
          <w:rFonts w:eastAsia="Times New Roman"/>
          <w:b/>
          <w:sz w:val="28"/>
          <w:szCs w:val="28"/>
          <w:lang w:eastAsia="ru-RU"/>
        </w:rPr>
      </w:pPr>
    </w:p>
    <w:p w14:paraId="5E3E0C7E" w14:textId="77777777" w:rsidR="00692093" w:rsidRPr="00EE1606" w:rsidRDefault="00692093">
      <w:pPr>
        <w:jc w:val="both"/>
        <w:rPr>
          <w:rFonts w:eastAsia="Times New Roman"/>
          <w:i/>
          <w:sz w:val="28"/>
          <w:szCs w:val="28"/>
          <w:lang w:eastAsia="ru-RU"/>
        </w:rPr>
      </w:pPr>
      <w:r w:rsidRPr="00EE1606">
        <w:rPr>
          <w:b/>
          <w:bCs/>
          <w:i/>
          <w:sz w:val="28"/>
          <w:szCs w:val="28"/>
        </w:rPr>
        <w:t>Условия хранения</w:t>
      </w:r>
    </w:p>
    <w:p w14:paraId="5E3E0C7F" w14:textId="77777777" w:rsidR="001449D0" w:rsidRPr="00EE1606" w:rsidRDefault="001449D0" w:rsidP="0006003C">
      <w:pPr>
        <w:jc w:val="both"/>
        <w:rPr>
          <w:sz w:val="28"/>
          <w:szCs w:val="28"/>
          <w:lang w:val="kk-KZ"/>
        </w:rPr>
      </w:pPr>
      <w:r w:rsidRPr="00EE1606">
        <w:rPr>
          <w:sz w:val="28"/>
          <w:szCs w:val="28"/>
          <w:lang w:val="kk-KZ"/>
        </w:rPr>
        <w:t xml:space="preserve">Хранить в защищенном от света месте при </w:t>
      </w:r>
      <w:r w:rsidR="00FE13C1" w:rsidRPr="00EE1606">
        <w:rPr>
          <w:sz w:val="28"/>
          <w:szCs w:val="28"/>
          <w:lang w:val="kk-KZ"/>
        </w:rPr>
        <w:t xml:space="preserve">температуре </w:t>
      </w:r>
      <w:r w:rsidR="0006003C" w:rsidRPr="00EE1606">
        <w:rPr>
          <w:sz w:val="28"/>
          <w:szCs w:val="28"/>
          <w:lang w:val="kk-KZ"/>
        </w:rPr>
        <w:t>не выше</w:t>
      </w:r>
      <w:r w:rsidRPr="00EE1606">
        <w:rPr>
          <w:sz w:val="28"/>
          <w:szCs w:val="28"/>
          <w:lang w:val="kk-KZ"/>
        </w:rPr>
        <w:t xml:space="preserve"> 30 °С.</w:t>
      </w:r>
    </w:p>
    <w:p w14:paraId="5E3E0C80" w14:textId="77777777" w:rsidR="001449D0" w:rsidRPr="00EE1606" w:rsidRDefault="001449D0" w:rsidP="0006003C">
      <w:pPr>
        <w:jc w:val="both"/>
        <w:rPr>
          <w:sz w:val="28"/>
          <w:szCs w:val="28"/>
        </w:rPr>
      </w:pPr>
      <w:r w:rsidRPr="00EE1606">
        <w:rPr>
          <w:sz w:val="28"/>
          <w:szCs w:val="28"/>
          <w:lang w:val="kk-KZ"/>
        </w:rPr>
        <w:t xml:space="preserve">Не замораживать. </w:t>
      </w:r>
    </w:p>
    <w:p w14:paraId="5E3E0C81" w14:textId="77777777" w:rsidR="00692093" w:rsidRPr="00EE1606" w:rsidRDefault="00692093" w:rsidP="0038492A">
      <w:pPr>
        <w:jc w:val="both"/>
        <w:rPr>
          <w:sz w:val="28"/>
          <w:szCs w:val="28"/>
          <w:lang w:val="kk-KZ"/>
        </w:rPr>
      </w:pPr>
      <w:r w:rsidRPr="00EE1606">
        <w:rPr>
          <w:sz w:val="28"/>
          <w:szCs w:val="28"/>
          <w:lang w:val="kk-KZ"/>
        </w:rPr>
        <w:t xml:space="preserve">Хранить в недоступном для детей месте! </w:t>
      </w:r>
    </w:p>
    <w:p w14:paraId="5E3E0C82" w14:textId="77777777" w:rsidR="00692093" w:rsidRPr="00EE1606" w:rsidRDefault="00692093" w:rsidP="0006003C">
      <w:pPr>
        <w:jc w:val="both"/>
        <w:rPr>
          <w:b/>
          <w:color w:val="000000"/>
          <w:sz w:val="28"/>
          <w:szCs w:val="28"/>
        </w:rPr>
      </w:pPr>
    </w:p>
    <w:p w14:paraId="5E3E0C83" w14:textId="77777777" w:rsidR="00692093" w:rsidRPr="00EE1606" w:rsidRDefault="00692093" w:rsidP="0006003C">
      <w:pPr>
        <w:jc w:val="both"/>
        <w:rPr>
          <w:b/>
          <w:color w:val="000000"/>
          <w:sz w:val="28"/>
          <w:szCs w:val="28"/>
        </w:rPr>
      </w:pPr>
      <w:r w:rsidRPr="00EE1606">
        <w:rPr>
          <w:b/>
          <w:color w:val="000000"/>
          <w:sz w:val="28"/>
          <w:szCs w:val="28"/>
        </w:rPr>
        <w:lastRenderedPageBreak/>
        <w:t>Условия отпуска из аптек</w:t>
      </w:r>
    </w:p>
    <w:p w14:paraId="5E3E0C84" w14:textId="77777777" w:rsidR="00692093" w:rsidRPr="000D5C80" w:rsidRDefault="00692093" w:rsidP="0006003C">
      <w:pPr>
        <w:jc w:val="both"/>
        <w:rPr>
          <w:color w:val="000000"/>
          <w:sz w:val="28"/>
          <w:szCs w:val="28"/>
        </w:rPr>
      </w:pPr>
      <w:r w:rsidRPr="00EE1606">
        <w:rPr>
          <w:color w:val="000000"/>
          <w:sz w:val="28"/>
          <w:szCs w:val="28"/>
        </w:rPr>
        <w:t>По рецепту</w:t>
      </w:r>
    </w:p>
    <w:p w14:paraId="637B2A5D" w14:textId="77777777" w:rsidR="00563F13" w:rsidRPr="000D5C80" w:rsidRDefault="00563F13" w:rsidP="0006003C">
      <w:pPr>
        <w:jc w:val="both"/>
        <w:rPr>
          <w:sz w:val="28"/>
          <w:szCs w:val="28"/>
        </w:rPr>
      </w:pPr>
    </w:p>
    <w:p w14:paraId="5E3E0C85" w14:textId="77777777" w:rsidR="00692093" w:rsidRPr="00EE1606" w:rsidRDefault="00692093" w:rsidP="0006003C">
      <w:pPr>
        <w:pStyle w:val="Default"/>
        <w:jc w:val="both"/>
        <w:rPr>
          <w:sz w:val="28"/>
          <w:szCs w:val="28"/>
        </w:rPr>
      </w:pPr>
      <w:r w:rsidRPr="00EE1606">
        <w:rPr>
          <w:b/>
          <w:bCs/>
          <w:sz w:val="28"/>
          <w:szCs w:val="28"/>
        </w:rPr>
        <w:t xml:space="preserve">Сведения о производителе </w:t>
      </w:r>
    </w:p>
    <w:p w14:paraId="5E3E0C86" w14:textId="77777777" w:rsidR="0038492A" w:rsidRPr="00EE1606" w:rsidRDefault="00692093" w:rsidP="0006003C">
      <w:pPr>
        <w:pStyle w:val="Default"/>
        <w:jc w:val="both"/>
        <w:rPr>
          <w:sz w:val="28"/>
          <w:szCs w:val="28"/>
        </w:rPr>
      </w:pPr>
      <w:proofErr w:type="spellStart"/>
      <w:r w:rsidRPr="00EE1606">
        <w:rPr>
          <w:sz w:val="28"/>
          <w:szCs w:val="28"/>
        </w:rPr>
        <w:t>Гленмарк</w:t>
      </w:r>
      <w:proofErr w:type="spellEnd"/>
      <w:r w:rsidRPr="00EE1606">
        <w:rPr>
          <w:sz w:val="28"/>
          <w:szCs w:val="28"/>
        </w:rPr>
        <w:t xml:space="preserve"> </w:t>
      </w:r>
      <w:proofErr w:type="spellStart"/>
      <w:r w:rsidRPr="00EE1606">
        <w:rPr>
          <w:sz w:val="28"/>
          <w:szCs w:val="28"/>
        </w:rPr>
        <w:t>Фармасьютикалз</w:t>
      </w:r>
      <w:proofErr w:type="spellEnd"/>
      <w:r w:rsidRPr="00EE1606">
        <w:rPr>
          <w:sz w:val="28"/>
          <w:szCs w:val="28"/>
        </w:rPr>
        <w:t xml:space="preserve"> Лтд</w:t>
      </w:r>
    </w:p>
    <w:p w14:paraId="5E3E0C87" w14:textId="77777777" w:rsidR="00692093" w:rsidRPr="00EE1606" w:rsidRDefault="0038492A" w:rsidP="0006003C">
      <w:pPr>
        <w:pStyle w:val="Default"/>
        <w:jc w:val="both"/>
        <w:rPr>
          <w:sz w:val="28"/>
          <w:szCs w:val="28"/>
        </w:rPr>
      </w:pPr>
      <w:r w:rsidRPr="00EE1606">
        <w:rPr>
          <w:sz w:val="28"/>
          <w:szCs w:val="28"/>
        </w:rPr>
        <w:t xml:space="preserve">Адрес производственной площадки: </w:t>
      </w:r>
      <w:proofErr w:type="spellStart"/>
      <w:r w:rsidR="00692093" w:rsidRPr="00EE1606">
        <w:rPr>
          <w:sz w:val="28"/>
          <w:szCs w:val="28"/>
        </w:rPr>
        <w:t>Виллэдж</w:t>
      </w:r>
      <w:proofErr w:type="spellEnd"/>
      <w:r w:rsidR="00692093" w:rsidRPr="00EE1606">
        <w:rPr>
          <w:sz w:val="28"/>
          <w:szCs w:val="28"/>
        </w:rPr>
        <w:t xml:space="preserve"> </w:t>
      </w:r>
      <w:proofErr w:type="spellStart"/>
      <w:r w:rsidR="00692093" w:rsidRPr="00EE1606">
        <w:rPr>
          <w:sz w:val="28"/>
          <w:szCs w:val="28"/>
        </w:rPr>
        <w:t>Кишанпура</w:t>
      </w:r>
      <w:proofErr w:type="spellEnd"/>
      <w:r w:rsidR="00692093" w:rsidRPr="00EE1606">
        <w:rPr>
          <w:sz w:val="28"/>
          <w:szCs w:val="28"/>
        </w:rPr>
        <w:t xml:space="preserve">, </w:t>
      </w:r>
      <w:proofErr w:type="spellStart"/>
      <w:r w:rsidR="00692093" w:rsidRPr="00EE1606">
        <w:rPr>
          <w:sz w:val="28"/>
          <w:szCs w:val="28"/>
        </w:rPr>
        <w:t>Бадди-Налагарх</w:t>
      </w:r>
      <w:proofErr w:type="spellEnd"/>
      <w:r w:rsidR="00692093" w:rsidRPr="00EE1606">
        <w:rPr>
          <w:sz w:val="28"/>
          <w:szCs w:val="28"/>
        </w:rPr>
        <w:t xml:space="preserve"> </w:t>
      </w:r>
      <w:proofErr w:type="spellStart"/>
      <w:r w:rsidR="00692093" w:rsidRPr="00EE1606">
        <w:rPr>
          <w:sz w:val="28"/>
          <w:szCs w:val="28"/>
        </w:rPr>
        <w:t>Роуд</w:t>
      </w:r>
      <w:proofErr w:type="spellEnd"/>
      <w:r w:rsidR="00692093" w:rsidRPr="00EE1606">
        <w:rPr>
          <w:sz w:val="28"/>
          <w:szCs w:val="28"/>
        </w:rPr>
        <w:t xml:space="preserve"> </w:t>
      </w:r>
      <w:proofErr w:type="spellStart"/>
      <w:r w:rsidR="00692093" w:rsidRPr="00EE1606">
        <w:rPr>
          <w:sz w:val="28"/>
          <w:szCs w:val="28"/>
        </w:rPr>
        <w:t>Техсил</w:t>
      </w:r>
      <w:proofErr w:type="spellEnd"/>
      <w:r w:rsidR="00692093" w:rsidRPr="00EE1606">
        <w:rPr>
          <w:sz w:val="28"/>
          <w:szCs w:val="28"/>
        </w:rPr>
        <w:t xml:space="preserve"> </w:t>
      </w:r>
      <w:proofErr w:type="spellStart"/>
      <w:r w:rsidR="00692093" w:rsidRPr="00EE1606">
        <w:rPr>
          <w:sz w:val="28"/>
          <w:szCs w:val="28"/>
        </w:rPr>
        <w:t>Бадди</w:t>
      </w:r>
      <w:proofErr w:type="spellEnd"/>
      <w:r w:rsidR="00692093" w:rsidRPr="00EE1606">
        <w:rPr>
          <w:sz w:val="28"/>
          <w:szCs w:val="28"/>
        </w:rPr>
        <w:t xml:space="preserve">, </w:t>
      </w:r>
      <w:proofErr w:type="spellStart"/>
      <w:r w:rsidR="00692093" w:rsidRPr="00EE1606">
        <w:rPr>
          <w:sz w:val="28"/>
          <w:szCs w:val="28"/>
        </w:rPr>
        <w:t>Дистт</w:t>
      </w:r>
      <w:proofErr w:type="spellEnd"/>
      <w:r w:rsidR="00692093" w:rsidRPr="00EE1606">
        <w:rPr>
          <w:sz w:val="28"/>
          <w:szCs w:val="28"/>
        </w:rPr>
        <w:t>. Солан (Х.П.)- 173205, Индия</w:t>
      </w:r>
    </w:p>
    <w:p w14:paraId="5E3E0C88" w14:textId="77777777" w:rsidR="00472A20" w:rsidRPr="00EE1606" w:rsidRDefault="00472A20" w:rsidP="0038492A">
      <w:pPr>
        <w:autoSpaceDE w:val="0"/>
        <w:autoSpaceDN w:val="0"/>
        <w:jc w:val="both"/>
        <w:rPr>
          <w:rFonts w:eastAsia="Times New Roman"/>
          <w:sz w:val="28"/>
          <w:szCs w:val="28"/>
          <w:lang w:eastAsia="ru-RU"/>
        </w:rPr>
      </w:pPr>
      <w:r w:rsidRPr="00EE1606">
        <w:rPr>
          <w:rFonts w:eastAsia="Consolas"/>
          <w:sz w:val="28"/>
          <w:szCs w:val="28"/>
        </w:rPr>
        <w:t>Эл</w:t>
      </w:r>
      <w:proofErr w:type="gramStart"/>
      <w:r w:rsidRPr="00EE1606">
        <w:rPr>
          <w:rFonts w:eastAsia="Consolas"/>
          <w:sz w:val="28"/>
          <w:szCs w:val="28"/>
        </w:rPr>
        <w:t>.</w:t>
      </w:r>
      <w:proofErr w:type="gramEnd"/>
      <w:r w:rsidRPr="00EE1606">
        <w:rPr>
          <w:rFonts w:eastAsia="Consolas"/>
          <w:sz w:val="28"/>
          <w:szCs w:val="28"/>
        </w:rPr>
        <w:t xml:space="preserve"> </w:t>
      </w:r>
      <w:proofErr w:type="gramStart"/>
      <w:r w:rsidRPr="00EE1606">
        <w:rPr>
          <w:rFonts w:eastAsia="Consolas"/>
          <w:sz w:val="28"/>
          <w:szCs w:val="28"/>
        </w:rPr>
        <w:t>а</w:t>
      </w:r>
      <w:proofErr w:type="gramEnd"/>
      <w:r w:rsidRPr="00EE1606">
        <w:rPr>
          <w:rFonts w:eastAsia="Consolas"/>
          <w:sz w:val="28"/>
          <w:szCs w:val="28"/>
        </w:rPr>
        <w:t xml:space="preserve">дрес: </w:t>
      </w:r>
      <w:hyperlink r:id="rId14" w:history="1">
        <w:r w:rsidR="005E4E63" w:rsidRPr="00EE1606">
          <w:rPr>
            <w:rStyle w:val="ad"/>
            <w:rFonts w:eastAsia="Consolas"/>
            <w:sz w:val="28"/>
            <w:szCs w:val="28"/>
          </w:rPr>
          <w:t>webmaster@glenmark.com</w:t>
        </w:r>
      </w:hyperlink>
      <w:r w:rsidR="005E4E63" w:rsidRPr="00EE1606">
        <w:rPr>
          <w:rFonts w:eastAsia="Consolas"/>
          <w:sz w:val="28"/>
          <w:szCs w:val="28"/>
        </w:rPr>
        <w:t xml:space="preserve"> </w:t>
      </w:r>
      <w:r w:rsidRPr="00EE1606">
        <w:rPr>
          <w:rFonts w:eastAsia="Consolas"/>
          <w:sz w:val="28"/>
          <w:szCs w:val="28"/>
        </w:rPr>
        <w:t xml:space="preserve"> </w:t>
      </w:r>
    </w:p>
    <w:p w14:paraId="5E3E0C89" w14:textId="77777777" w:rsidR="00692093" w:rsidRPr="00EE1606" w:rsidRDefault="00692093" w:rsidP="0006003C">
      <w:pPr>
        <w:jc w:val="both"/>
        <w:rPr>
          <w:b/>
          <w:sz w:val="28"/>
          <w:szCs w:val="28"/>
          <w:lang w:val="kk-KZ"/>
        </w:rPr>
      </w:pPr>
    </w:p>
    <w:p w14:paraId="5E3E0C8A" w14:textId="77777777" w:rsidR="00692093" w:rsidRPr="00EE1606" w:rsidRDefault="00692093" w:rsidP="0006003C">
      <w:pPr>
        <w:pStyle w:val="Default"/>
        <w:jc w:val="both"/>
        <w:rPr>
          <w:sz w:val="28"/>
          <w:szCs w:val="28"/>
        </w:rPr>
      </w:pPr>
      <w:r w:rsidRPr="00EE1606">
        <w:rPr>
          <w:b/>
          <w:bCs/>
          <w:sz w:val="28"/>
          <w:szCs w:val="28"/>
        </w:rPr>
        <w:t xml:space="preserve">Держатель регистрационного удостоверения </w:t>
      </w:r>
    </w:p>
    <w:p w14:paraId="5E3E0C8B" w14:textId="77777777" w:rsidR="00143677" w:rsidRPr="00EE1606" w:rsidRDefault="00143677" w:rsidP="00143677">
      <w:pPr>
        <w:pStyle w:val="Default"/>
        <w:jc w:val="both"/>
        <w:rPr>
          <w:sz w:val="28"/>
          <w:szCs w:val="28"/>
          <w:lang w:val="kk-KZ"/>
        </w:rPr>
      </w:pPr>
      <w:r w:rsidRPr="00EE1606">
        <w:rPr>
          <w:sz w:val="28"/>
          <w:szCs w:val="28"/>
          <w:lang w:val="kk-KZ"/>
        </w:rPr>
        <w:t>Д-р Редди</w:t>
      </w:r>
      <w:r w:rsidRPr="00EE1606">
        <w:rPr>
          <w:sz w:val="28"/>
          <w:szCs w:val="28"/>
        </w:rPr>
        <w:t>’</w:t>
      </w:r>
      <w:r w:rsidRPr="00EE1606">
        <w:rPr>
          <w:sz w:val="28"/>
          <w:szCs w:val="28"/>
          <w:lang w:val="kk-KZ"/>
        </w:rPr>
        <w:t>с Лабораторис Лимитед</w:t>
      </w:r>
    </w:p>
    <w:p w14:paraId="5E3E0C8C" w14:textId="34AAB42B" w:rsidR="00143677" w:rsidRPr="00EE1606" w:rsidRDefault="00143677" w:rsidP="00143677">
      <w:pPr>
        <w:pStyle w:val="Default"/>
        <w:jc w:val="both"/>
        <w:rPr>
          <w:sz w:val="28"/>
          <w:szCs w:val="28"/>
          <w:lang w:val="kk-KZ"/>
        </w:rPr>
      </w:pPr>
      <w:bookmarkStart w:id="1" w:name="_GoBack"/>
      <w:bookmarkEnd w:id="1"/>
      <w:r w:rsidRPr="00EE1606">
        <w:rPr>
          <w:sz w:val="28"/>
          <w:szCs w:val="28"/>
          <w:lang w:val="kk-KZ"/>
        </w:rPr>
        <w:t>8-2-337, Road No.3, Banjara Hills, Hyderabad – 500034, Telangana, Индия.</w:t>
      </w:r>
    </w:p>
    <w:p w14:paraId="5E3E0C8D" w14:textId="77777777" w:rsidR="00692093" w:rsidRPr="00EE1606" w:rsidRDefault="00143677" w:rsidP="00143677">
      <w:pPr>
        <w:pStyle w:val="Default"/>
        <w:jc w:val="both"/>
        <w:rPr>
          <w:sz w:val="28"/>
          <w:szCs w:val="28"/>
        </w:rPr>
      </w:pPr>
      <w:r w:rsidRPr="00EE1606">
        <w:rPr>
          <w:sz w:val="28"/>
          <w:szCs w:val="28"/>
          <w:lang w:val="kk-KZ"/>
        </w:rPr>
        <w:t>Тел.: + 91-40-49002900, факс: +91-40-49002900.</w:t>
      </w:r>
      <w:r w:rsidR="00692093" w:rsidRPr="00EE1606">
        <w:rPr>
          <w:sz w:val="28"/>
          <w:szCs w:val="28"/>
        </w:rPr>
        <w:t xml:space="preserve"> </w:t>
      </w:r>
    </w:p>
    <w:p w14:paraId="5E3E0C8E" w14:textId="77777777" w:rsidR="00692093" w:rsidRPr="00EE1606" w:rsidRDefault="00692093" w:rsidP="0038492A">
      <w:pPr>
        <w:jc w:val="both"/>
        <w:rPr>
          <w:b/>
          <w:bCs/>
          <w:sz w:val="28"/>
          <w:szCs w:val="28"/>
        </w:rPr>
      </w:pPr>
    </w:p>
    <w:p w14:paraId="5E3E0C8F" w14:textId="77777777" w:rsidR="00692093" w:rsidRPr="00EE1606" w:rsidRDefault="00472A20">
      <w:pPr>
        <w:jc w:val="both"/>
        <w:rPr>
          <w:b/>
          <w:bCs/>
          <w:sz w:val="28"/>
          <w:szCs w:val="28"/>
        </w:rPr>
      </w:pPr>
      <w:r w:rsidRPr="00EE1606">
        <w:rPr>
          <w:b/>
          <w:bCs/>
          <w:sz w:val="28"/>
          <w:szCs w:val="28"/>
        </w:rPr>
        <w:t>Наименование, адрес и контактные данные (телефон, факс, электронная почта) организации на территории Республики Казахстан, принимающей претензии (предложения) по качеству лекарственных средств от потребителей и ответственной за пострегистрационное наблюдение за безопасностью лекарственного средства</w:t>
      </w:r>
    </w:p>
    <w:p w14:paraId="5E3E0C90" w14:textId="1DFD9E5C" w:rsidR="001B1152" w:rsidRPr="007A1E05" w:rsidRDefault="001B1152" w:rsidP="001B1152">
      <w:pPr>
        <w:spacing w:after="200" w:line="276" w:lineRule="auto"/>
        <w:rPr>
          <w:rFonts w:eastAsia="Calibri"/>
          <w:sz w:val="28"/>
          <w:szCs w:val="28"/>
          <w:lang w:eastAsia="en-US"/>
        </w:rPr>
      </w:pPr>
      <w:r w:rsidRPr="007A1E05">
        <w:rPr>
          <w:rFonts w:eastAsia="Calibri"/>
          <w:sz w:val="28"/>
          <w:szCs w:val="28"/>
          <w:lang w:eastAsia="en-US"/>
        </w:rPr>
        <w:t>ТОО «</w:t>
      </w:r>
      <w:proofErr w:type="spellStart"/>
      <w:proofErr w:type="gramStart"/>
      <w:r w:rsidRPr="007A1E05">
        <w:rPr>
          <w:rFonts w:eastAsia="Calibri"/>
          <w:sz w:val="28"/>
          <w:szCs w:val="28"/>
          <w:lang w:eastAsia="en-US"/>
        </w:rPr>
        <w:t>Др</w:t>
      </w:r>
      <w:proofErr w:type="spellEnd"/>
      <w:proofErr w:type="gramEnd"/>
      <w:r w:rsidRPr="007A1E05">
        <w:rPr>
          <w:rFonts w:eastAsia="Calibri"/>
          <w:sz w:val="28"/>
          <w:szCs w:val="28"/>
          <w:lang w:eastAsia="en-US"/>
        </w:rPr>
        <w:t xml:space="preserve"> </w:t>
      </w:r>
      <w:proofErr w:type="spellStart"/>
      <w:r w:rsidRPr="007A1E05">
        <w:rPr>
          <w:rFonts w:eastAsia="Calibri"/>
          <w:sz w:val="28"/>
          <w:szCs w:val="28"/>
          <w:lang w:eastAsia="en-US"/>
        </w:rPr>
        <w:t>Реддис</w:t>
      </w:r>
      <w:proofErr w:type="spellEnd"/>
      <w:r w:rsidRPr="007A1E05">
        <w:rPr>
          <w:rFonts w:eastAsia="Calibri"/>
          <w:sz w:val="28"/>
          <w:szCs w:val="28"/>
          <w:lang w:eastAsia="en-US"/>
        </w:rPr>
        <w:t xml:space="preserve"> </w:t>
      </w:r>
      <w:proofErr w:type="spellStart"/>
      <w:r w:rsidRPr="007A1E05">
        <w:rPr>
          <w:rFonts w:eastAsia="Calibri"/>
          <w:sz w:val="28"/>
          <w:szCs w:val="28"/>
          <w:lang w:eastAsia="en-US"/>
        </w:rPr>
        <w:t>Лабораторис</w:t>
      </w:r>
      <w:proofErr w:type="spellEnd"/>
      <w:r w:rsidRPr="007A1E05">
        <w:rPr>
          <w:rFonts w:eastAsia="Calibri"/>
          <w:sz w:val="28"/>
          <w:szCs w:val="28"/>
          <w:lang w:eastAsia="en-US"/>
        </w:rPr>
        <w:t xml:space="preserve"> Казахстан» </w:t>
      </w:r>
      <w:r w:rsidRPr="007A1E05">
        <w:rPr>
          <w:rFonts w:eastAsia="Calibri"/>
          <w:sz w:val="28"/>
          <w:szCs w:val="28"/>
          <w:lang w:eastAsia="en-US"/>
        </w:rPr>
        <w:br/>
        <w:t xml:space="preserve">Республика Казахстан, г. Алматы, ул. Тимирязева 28В, офис 905. </w:t>
      </w:r>
      <w:r w:rsidRPr="007A1E05">
        <w:rPr>
          <w:rFonts w:eastAsia="Calibri"/>
          <w:sz w:val="28"/>
          <w:szCs w:val="28"/>
          <w:lang w:eastAsia="en-US"/>
        </w:rPr>
        <w:br/>
        <w:t>Телефон: +7 (727) 313 25 10</w:t>
      </w:r>
      <w:r w:rsidR="0018757B">
        <w:rPr>
          <w:rFonts w:eastAsia="Calibri"/>
          <w:sz w:val="28"/>
          <w:szCs w:val="28"/>
          <w:lang w:eastAsia="en-US"/>
        </w:rPr>
        <w:t xml:space="preserve">, </w:t>
      </w:r>
      <w:r w:rsidRPr="007A1E05">
        <w:rPr>
          <w:rFonts w:eastAsia="Calibri"/>
          <w:sz w:val="28"/>
          <w:szCs w:val="28"/>
          <w:lang w:eastAsia="en-US"/>
        </w:rPr>
        <w:t xml:space="preserve">+7 701 757 19 56 </w:t>
      </w:r>
      <w:r w:rsidRPr="007A1E05">
        <w:rPr>
          <w:rFonts w:eastAsia="Calibri"/>
          <w:sz w:val="28"/>
          <w:szCs w:val="28"/>
          <w:lang w:eastAsia="en-US"/>
        </w:rPr>
        <w:br/>
      </w:r>
      <w:r w:rsidRPr="007A1E05">
        <w:rPr>
          <w:rFonts w:eastAsia="Calibri"/>
          <w:sz w:val="28"/>
          <w:szCs w:val="28"/>
          <w:lang w:val="en-US" w:eastAsia="en-US"/>
        </w:rPr>
        <w:t>e</w:t>
      </w:r>
      <w:r w:rsidRPr="007A1E05">
        <w:rPr>
          <w:rFonts w:eastAsia="Calibri"/>
          <w:sz w:val="28"/>
          <w:szCs w:val="28"/>
          <w:lang w:eastAsia="en-US"/>
        </w:rPr>
        <w:t>-</w:t>
      </w:r>
      <w:r w:rsidRPr="007A1E05">
        <w:rPr>
          <w:rFonts w:eastAsia="Calibri"/>
          <w:sz w:val="28"/>
          <w:szCs w:val="28"/>
          <w:lang w:val="en-US" w:eastAsia="en-US"/>
        </w:rPr>
        <w:t>mail</w:t>
      </w:r>
      <w:r w:rsidRPr="007A1E05">
        <w:rPr>
          <w:rFonts w:eastAsia="Calibri"/>
          <w:sz w:val="28"/>
          <w:szCs w:val="28"/>
          <w:lang w:eastAsia="en-US"/>
        </w:rPr>
        <w:t xml:space="preserve">: </w:t>
      </w:r>
      <w:hyperlink r:id="rId15" w:history="1">
        <w:r w:rsidRPr="007A1E05">
          <w:rPr>
            <w:rFonts w:eastAsia="Calibri"/>
            <w:color w:val="0000FF"/>
            <w:sz w:val="28"/>
            <w:szCs w:val="28"/>
            <w:u w:val="single"/>
            <w:lang w:val="en-US" w:eastAsia="en-US"/>
          </w:rPr>
          <w:t>pharmacovigilance</w:t>
        </w:r>
        <w:r w:rsidRPr="007A1E05">
          <w:rPr>
            <w:rFonts w:eastAsia="Calibri"/>
            <w:color w:val="0000FF"/>
            <w:sz w:val="28"/>
            <w:szCs w:val="28"/>
            <w:u w:val="single"/>
            <w:lang w:eastAsia="en-US"/>
          </w:rPr>
          <w:t>.</w:t>
        </w:r>
        <w:r w:rsidRPr="007A1E05">
          <w:rPr>
            <w:rFonts w:eastAsia="Calibri"/>
            <w:color w:val="0000FF"/>
            <w:sz w:val="28"/>
            <w:szCs w:val="28"/>
            <w:u w:val="single"/>
            <w:lang w:val="en-US" w:eastAsia="en-US"/>
          </w:rPr>
          <w:t>kz</w:t>
        </w:r>
        <w:r w:rsidRPr="007A1E05">
          <w:rPr>
            <w:rFonts w:eastAsia="Calibri"/>
            <w:color w:val="0000FF"/>
            <w:sz w:val="28"/>
            <w:szCs w:val="28"/>
            <w:u w:val="single"/>
            <w:lang w:eastAsia="en-US"/>
          </w:rPr>
          <w:t>@</w:t>
        </w:r>
        <w:r w:rsidRPr="007A1E05">
          <w:rPr>
            <w:rFonts w:eastAsia="Calibri"/>
            <w:color w:val="0000FF"/>
            <w:sz w:val="28"/>
            <w:szCs w:val="28"/>
            <w:u w:val="single"/>
            <w:lang w:val="en-US" w:eastAsia="en-US"/>
          </w:rPr>
          <w:t>drreddys</w:t>
        </w:r>
        <w:r w:rsidRPr="007A1E05">
          <w:rPr>
            <w:rFonts w:eastAsia="Calibri"/>
            <w:color w:val="0000FF"/>
            <w:sz w:val="28"/>
            <w:szCs w:val="28"/>
            <w:u w:val="single"/>
            <w:lang w:eastAsia="en-US"/>
          </w:rPr>
          <w:t>.</w:t>
        </w:r>
        <w:r w:rsidRPr="007A1E05">
          <w:rPr>
            <w:rFonts w:eastAsia="Calibri"/>
            <w:color w:val="0000FF"/>
            <w:sz w:val="28"/>
            <w:szCs w:val="28"/>
            <w:u w:val="single"/>
            <w:lang w:val="en-US" w:eastAsia="en-US"/>
          </w:rPr>
          <w:t>com</w:t>
        </w:r>
      </w:hyperlink>
      <w:r w:rsidRPr="007A1E05">
        <w:rPr>
          <w:rFonts w:eastAsia="Calibri"/>
          <w:sz w:val="28"/>
          <w:szCs w:val="28"/>
          <w:lang w:eastAsia="en-US"/>
        </w:rPr>
        <w:t xml:space="preserve"> </w:t>
      </w:r>
    </w:p>
    <w:p w14:paraId="5E3E0C91" w14:textId="77777777" w:rsidR="001B1152" w:rsidRPr="00F26A4A" w:rsidRDefault="001B1152" w:rsidP="001B1152">
      <w:pPr>
        <w:jc w:val="both"/>
        <w:rPr>
          <w:rFonts w:eastAsia="Times New Roman"/>
          <w:sz w:val="28"/>
          <w:szCs w:val="28"/>
          <w:lang w:eastAsia="ru-RU"/>
        </w:rPr>
      </w:pPr>
    </w:p>
    <w:p w14:paraId="5E3E0C92" w14:textId="77777777" w:rsidR="00143677" w:rsidRPr="002A28A6" w:rsidRDefault="00143677" w:rsidP="00143677">
      <w:pPr>
        <w:jc w:val="both"/>
        <w:rPr>
          <w:rFonts w:eastAsia="Calibri"/>
          <w:sz w:val="28"/>
          <w:szCs w:val="28"/>
          <w:lang w:eastAsia="en-US"/>
        </w:rPr>
      </w:pPr>
    </w:p>
    <w:sectPr w:rsidR="00143677" w:rsidRPr="002A28A6" w:rsidSect="006044B5">
      <w:footerReference w:type="even" r:id="rId16"/>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389B8" w14:textId="77777777" w:rsidR="00820258" w:rsidRDefault="00820258">
      <w:r>
        <w:separator/>
      </w:r>
    </w:p>
  </w:endnote>
  <w:endnote w:type="continuationSeparator" w:id="0">
    <w:p w14:paraId="744CC284" w14:textId="77777777" w:rsidR="00820258" w:rsidRDefault="0082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0C9D" w14:textId="77777777" w:rsidR="00621C67" w:rsidRDefault="00621C67"/>
  <w:p w14:paraId="5E3E0C9E" w14:textId="77777777" w:rsidR="00B068E7" w:rsidRDefault="000D5DB7">
    <w:r>
      <w:rPr>
        <w:rFonts w:eastAsia="Times New Roman"/>
        <w:sz w:val="22"/>
        <w:szCs w:val="22"/>
      </w:rPr>
      <w:t>Решение: N035160</w:t>
    </w:r>
    <w:r>
      <w:rPr>
        <w:rFonts w:eastAsia="Times New Roman"/>
        <w:sz w:val="22"/>
        <w:szCs w:val="22"/>
      </w:rPr>
      <w:br/>
      <w:t>Дата решения: 29.12.2020</w:t>
    </w:r>
    <w:r>
      <w:rPr>
        <w:rFonts w:eastAsia="Times New Roman"/>
        <w:sz w:val="22"/>
        <w:szCs w:val="22"/>
      </w:rPr>
      <w:br/>
      <w:t xml:space="preserve">Фамилия, имя, отчество (при его наличии) руководителя государственного органа (или уполномоченное лицо): </w:t>
    </w:r>
    <w:proofErr w:type="spellStart"/>
    <w:r>
      <w:rPr>
        <w:rFonts w:eastAsia="Times New Roman"/>
        <w:sz w:val="22"/>
        <w:szCs w:val="22"/>
      </w:rPr>
      <w:t>Ахметниязова</w:t>
    </w:r>
    <w:proofErr w:type="spellEnd"/>
    <w:r>
      <w:rPr>
        <w:rFonts w:eastAsia="Times New Roman"/>
        <w:sz w:val="22"/>
        <w:szCs w:val="22"/>
      </w:rPr>
      <w:t xml:space="preserve"> Л. М.</w:t>
    </w:r>
    <w:r>
      <w:rPr>
        <w:rFonts w:eastAsia="Times New Roman"/>
        <w:sz w:val="22"/>
        <w:szCs w:val="22"/>
      </w:rPr>
      <w:br/>
      <w:t>(Комитет контроля качества и безопасности товаров и услуг)</w:t>
    </w:r>
    <w:r>
      <w:rPr>
        <w:rFonts w:eastAsia="Times New Roman"/>
        <w:sz w:val="22"/>
        <w:szCs w:val="22"/>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0C9F" w14:textId="77777777" w:rsidR="00621C67" w:rsidRDefault="00621C67"/>
  <w:p w14:paraId="5E3E0CA0" w14:textId="77777777" w:rsidR="00B068E7" w:rsidRDefault="000D5DB7">
    <w:r>
      <w:rPr>
        <w:rFonts w:eastAsia="Times New Roman"/>
        <w:sz w:val="22"/>
        <w:szCs w:val="22"/>
      </w:rPr>
      <w:t>Решение: N035160</w:t>
    </w:r>
    <w:r>
      <w:rPr>
        <w:rFonts w:eastAsia="Times New Roman"/>
        <w:sz w:val="22"/>
        <w:szCs w:val="22"/>
      </w:rPr>
      <w:br/>
      <w:t>Дата решения: 29.12.2020</w:t>
    </w:r>
    <w:r>
      <w:rPr>
        <w:rFonts w:eastAsia="Times New Roman"/>
        <w:sz w:val="22"/>
        <w:szCs w:val="22"/>
      </w:rPr>
      <w:br/>
      <w:t xml:space="preserve">Фамилия, имя, отчество (при его наличии) руководителя государственного органа (или уполномоченное лицо): </w:t>
    </w:r>
    <w:proofErr w:type="spellStart"/>
    <w:r>
      <w:rPr>
        <w:rFonts w:eastAsia="Times New Roman"/>
        <w:sz w:val="22"/>
        <w:szCs w:val="22"/>
      </w:rPr>
      <w:t>Ахметниязова</w:t>
    </w:r>
    <w:proofErr w:type="spellEnd"/>
    <w:r>
      <w:rPr>
        <w:rFonts w:eastAsia="Times New Roman"/>
        <w:sz w:val="22"/>
        <w:szCs w:val="22"/>
      </w:rPr>
      <w:t xml:space="preserve"> Л. М.</w:t>
    </w:r>
    <w:r>
      <w:rPr>
        <w:rFonts w:eastAsia="Times New Roman"/>
        <w:sz w:val="22"/>
        <w:szCs w:val="22"/>
      </w:rPr>
      <w:br/>
      <w:t>(Комитет контроля качества и безопасности товаров и услуг)</w:t>
    </w:r>
    <w:r>
      <w:rPr>
        <w:rFonts w:eastAsia="Times New Roman"/>
        <w:sz w:val="22"/>
        <w:szCs w:val="22"/>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CBBD9" w14:textId="77777777" w:rsidR="00820258" w:rsidRDefault="00820258">
      <w:r>
        <w:separator/>
      </w:r>
    </w:p>
  </w:footnote>
  <w:footnote w:type="continuationSeparator" w:id="0">
    <w:p w14:paraId="0E781E47" w14:textId="77777777" w:rsidR="00820258" w:rsidRDefault="008202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7CBD"/>
    <w:multiLevelType w:val="hybridMultilevel"/>
    <w:tmpl w:val="429E35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F7644A"/>
    <w:multiLevelType w:val="hybridMultilevel"/>
    <w:tmpl w:val="68E20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2E"/>
    <w:rsid w:val="000017FE"/>
    <w:rsid w:val="00012506"/>
    <w:rsid w:val="00015EBE"/>
    <w:rsid w:val="00052104"/>
    <w:rsid w:val="0006003C"/>
    <w:rsid w:val="000854D4"/>
    <w:rsid w:val="000D5C80"/>
    <w:rsid w:val="000D5DB7"/>
    <w:rsid w:val="000F52EA"/>
    <w:rsid w:val="00124AEE"/>
    <w:rsid w:val="00124C46"/>
    <w:rsid w:val="00127C3F"/>
    <w:rsid w:val="00136CE6"/>
    <w:rsid w:val="00143677"/>
    <w:rsid w:val="001449D0"/>
    <w:rsid w:val="00153532"/>
    <w:rsid w:val="0016030C"/>
    <w:rsid w:val="00167E02"/>
    <w:rsid w:val="00180B19"/>
    <w:rsid w:val="00180EDF"/>
    <w:rsid w:val="0018757B"/>
    <w:rsid w:val="001B1152"/>
    <w:rsid w:val="001C1CC2"/>
    <w:rsid w:val="0020734D"/>
    <w:rsid w:val="002515D5"/>
    <w:rsid w:val="0026124D"/>
    <w:rsid w:val="0027449E"/>
    <w:rsid w:val="002835DD"/>
    <w:rsid w:val="00297CE2"/>
    <w:rsid w:val="002A28A6"/>
    <w:rsid w:val="002C1228"/>
    <w:rsid w:val="002C22EF"/>
    <w:rsid w:val="002C3528"/>
    <w:rsid w:val="002C3DBF"/>
    <w:rsid w:val="002F79C9"/>
    <w:rsid w:val="003076D4"/>
    <w:rsid w:val="00310BCE"/>
    <w:rsid w:val="00311384"/>
    <w:rsid w:val="0031192B"/>
    <w:rsid w:val="00343B5A"/>
    <w:rsid w:val="00357E90"/>
    <w:rsid w:val="003742D4"/>
    <w:rsid w:val="0038492A"/>
    <w:rsid w:val="003C24D8"/>
    <w:rsid w:val="003D19B9"/>
    <w:rsid w:val="0040564C"/>
    <w:rsid w:val="00427A2E"/>
    <w:rsid w:val="00472A20"/>
    <w:rsid w:val="00481D3F"/>
    <w:rsid w:val="004C2BB0"/>
    <w:rsid w:val="004C35D2"/>
    <w:rsid w:val="00500895"/>
    <w:rsid w:val="00512EDE"/>
    <w:rsid w:val="0052407C"/>
    <w:rsid w:val="00530B90"/>
    <w:rsid w:val="00550D19"/>
    <w:rsid w:val="00563F13"/>
    <w:rsid w:val="00565E32"/>
    <w:rsid w:val="00576F5F"/>
    <w:rsid w:val="0059434F"/>
    <w:rsid w:val="00597500"/>
    <w:rsid w:val="005E4E63"/>
    <w:rsid w:val="006044B5"/>
    <w:rsid w:val="00621C67"/>
    <w:rsid w:val="00665C92"/>
    <w:rsid w:val="00676A91"/>
    <w:rsid w:val="00692093"/>
    <w:rsid w:val="006A7A8C"/>
    <w:rsid w:val="006B29A2"/>
    <w:rsid w:val="006B57EA"/>
    <w:rsid w:val="006E0BE3"/>
    <w:rsid w:val="006E64BD"/>
    <w:rsid w:val="00726F9E"/>
    <w:rsid w:val="00746329"/>
    <w:rsid w:val="00755887"/>
    <w:rsid w:val="00762C0F"/>
    <w:rsid w:val="00762D50"/>
    <w:rsid w:val="007B6D0E"/>
    <w:rsid w:val="007B7A8A"/>
    <w:rsid w:val="007C1D87"/>
    <w:rsid w:val="007C1E4E"/>
    <w:rsid w:val="007C5D9B"/>
    <w:rsid w:val="00820258"/>
    <w:rsid w:val="00837435"/>
    <w:rsid w:val="00846D65"/>
    <w:rsid w:val="00883079"/>
    <w:rsid w:val="008B2A37"/>
    <w:rsid w:val="008E02F9"/>
    <w:rsid w:val="008E0331"/>
    <w:rsid w:val="008E1F4C"/>
    <w:rsid w:val="00930746"/>
    <w:rsid w:val="009E362A"/>
    <w:rsid w:val="009E477C"/>
    <w:rsid w:val="00A14AA0"/>
    <w:rsid w:val="00A34969"/>
    <w:rsid w:val="00A64287"/>
    <w:rsid w:val="00A74B2E"/>
    <w:rsid w:val="00A87577"/>
    <w:rsid w:val="00AB7AD7"/>
    <w:rsid w:val="00AD1DFA"/>
    <w:rsid w:val="00B068E7"/>
    <w:rsid w:val="00B21DE5"/>
    <w:rsid w:val="00B25206"/>
    <w:rsid w:val="00B37D2F"/>
    <w:rsid w:val="00B53C43"/>
    <w:rsid w:val="00B6321D"/>
    <w:rsid w:val="00B70F61"/>
    <w:rsid w:val="00B73B3D"/>
    <w:rsid w:val="00BA66FC"/>
    <w:rsid w:val="00BB6E2E"/>
    <w:rsid w:val="00BC3823"/>
    <w:rsid w:val="00C01D99"/>
    <w:rsid w:val="00C32F2A"/>
    <w:rsid w:val="00C37E27"/>
    <w:rsid w:val="00C528CC"/>
    <w:rsid w:val="00C76C3B"/>
    <w:rsid w:val="00C94149"/>
    <w:rsid w:val="00CC75BA"/>
    <w:rsid w:val="00CD2F33"/>
    <w:rsid w:val="00D05944"/>
    <w:rsid w:val="00D262C0"/>
    <w:rsid w:val="00D27262"/>
    <w:rsid w:val="00D31F65"/>
    <w:rsid w:val="00D57840"/>
    <w:rsid w:val="00D6006B"/>
    <w:rsid w:val="00DA4933"/>
    <w:rsid w:val="00DE4FE1"/>
    <w:rsid w:val="00E438C1"/>
    <w:rsid w:val="00E605DC"/>
    <w:rsid w:val="00E67350"/>
    <w:rsid w:val="00E7150C"/>
    <w:rsid w:val="00EA5D69"/>
    <w:rsid w:val="00EB4FFC"/>
    <w:rsid w:val="00EE1606"/>
    <w:rsid w:val="00EE73BD"/>
    <w:rsid w:val="00F2090F"/>
    <w:rsid w:val="00F34DB9"/>
    <w:rsid w:val="00F50507"/>
    <w:rsid w:val="00FA113C"/>
    <w:rsid w:val="00FB36F6"/>
    <w:rsid w:val="00FE1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093"/>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92093"/>
    <w:pPr>
      <w:tabs>
        <w:tab w:val="center" w:pos="4677"/>
        <w:tab w:val="right" w:pos="9355"/>
      </w:tabs>
    </w:pPr>
  </w:style>
  <w:style w:type="character" w:customStyle="1" w:styleId="a4">
    <w:name w:val="Нижний колонтитул Знак"/>
    <w:basedOn w:val="a0"/>
    <w:link w:val="a3"/>
    <w:rsid w:val="00692093"/>
    <w:rPr>
      <w:rFonts w:ascii="Times New Roman" w:eastAsia="MS Mincho" w:hAnsi="Times New Roman" w:cs="Times New Roman"/>
      <w:sz w:val="24"/>
      <w:szCs w:val="24"/>
      <w:lang w:eastAsia="ja-JP"/>
    </w:rPr>
  </w:style>
  <w:style w:type="character" w:styleId="a5">
    <w:name w:val="page number"/>
    <w:basedOn w:val="a0"/>
    <w:rsid w:val="00692093"/>
  </w:style>
  <w:style w:type="paragraph" w:styleId="a6">
    <w:name w:val="Body Text"/>
    <w:basedOn w:val="a"/>
    <w:link w:val="a7"/>
    <w:rsid w:val="00692093"/>
    <w:pPr>
      <w:jc w:val="both"/>
    </w:pPr>
    <w:rPr>
      <w:rFonts w:ascii="Arial" w:eastAsia="Times New Roman" w:hAnsi="Arial"/>
      <w:sz w:val="28"/>
      <w:szCs w:val="20"/>
      <w:lang w:eastAsia="ru-RU"/>
    </w:rPr>
  </w:style>
  <w:style w:type="character" w:customStyle="1" w:styleId="a7">
    <w:name w:val="Основной текст Знак"/>
    <w:basedOn w:val="a0"/>
    <w:link w:val="a6"/>
    <w:rsid w:val="00692093"/>
    <w:rPr>
      <w:rFonts w:ascii="Arial" w:eastAsia="Times New Roman" w:hAnsi="Arial" w:cs="Times New Roman"/>
      <w:sz w:val="28"/>
      <w:szCs w:val="20"/>
      <w:lang w:eastAsia="ru-RU"/>
    </w:rPr>
  </w:style>
  <w:style w:type="paragraph" w:styleId="a8">
    <w:name w:val="No Spacing"/>
    <w:uiPriority w:val="1"/>
    <w:qFormat/>
    <w:rsid w:val="00692093"/>
    <w:pPr>
      <w:spacing w:after="0" w:line="240" w:lineRule="auto"/>
    </w:pPr>
    <w:rPr>
      <w:rFonts w:ascii="Calibri" w:eastAsia="Calibri" w:hAnsi="Calibri" w:cs="Times New Roman"/>
    </w:rPr>
  </w:style>
  <w:style w:type="paragraph" w:customStyle="1" w:styleId="Default">
    <w:name w:val="Default"/>
    <w:rsid w:val="0069209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9">
    <w:name w:val="Balloon Text"/>
    <w:basedOn w:val="a"/>
    <w:link w:val="aa"/>
    <w:uiPriority w:val="99"/>
    <w:semiHidden/>
    <w:unhideWhenUsed/>
    <w:rsid w:val="00692093"/>
    <w:rPr>
      <w:rFonts w:ascii="Tahoma" w:hAnsi="Tahoma" w:cs="Tahoma"/>
      <w:sz w:val="16"/>
      <w:szCs w:val="16"/>
    </w:rPr>
  </w:style>
  <w:style w:type="character" w:customStyle="1" w:styleId="aa">
    <w:name w:val="Текст выноски Знак"/>
    <w:basedOn w:val="a0"/>
    <w:link w:val="a9"/>
    <w:uiPriority w:val="99"/>
    <w:semiHidden/>
    <w:rsid w:val="00692093"/>
    <w:rPr>
      <w:rFonts w:ascii="Tahoma" w:eastAsia="MS Mincho" w:hAnsi="Tahoma" w:cs="Tahoma"/>
      <w:sz w:val="16"/>
      <w:szCs w:val="16"/>
      <w:lang w:eastAsia="ja-JP"/>
    </w:rPr>
  </w:style>
  <w:style w:type="paragraph" w:styleId="ab">
    <w:name w:val="header"/>
    <w:basedOn w:val="a"/>
    <w:link w:val="ac"/>
    <w:uiPriority w:val="99"/>
    <w:unhideWhenUsed/>
    <w:rsid w:val="0026124D"/>
    <w:pPr>
      <w:tabs>
        <w:tab w:val="center" w:pos="4677"/>
        <w:tab w:val="right" w:pos="9355"/>
      </w:tabs>
    </w:pPr>
  </w:style>
  <w:style w:type="character" w:customStyle="1" w:styleId="ac">
    <w:name w:val="Верхний колонтитул Знак"/>
    <w:basedOn w:val="a0"/>
    <w:link w:val="ab"/>
    <w:uiPriority w:val="99"/>
    <w:rsid w:val="0026124D"/>
    <w:rPr>
      <w:rFonts w:ascii="Times New Roman" w:eastAsia="MS Mincho" w:hAnsi="Times New Roman" w:cs="Times New Roman"/>
      <w:sz w:val="24"/>
      <w:szCs w:val="24"/>
      <w:lang w:eastAsia="ja-JP"/>
    </w:rPr>
  </w:style>
  <w:style w:type="character" w:styleId="ad">
    <w:name w:val="Hyperlink"/>
    <w:basedOn w:val="a0"/>
    <w:uiPriority w:val="99"/>
    <w:unhideWhenUsed/>
    <w:rsid w:val="00A87577"/>
    <w:rPr>
      <w:color w:val="0000FF" w:themeColor="hyperlink"/>
      <w:u w:val="single"/>
    </w:rPr>
  </w:style>
  <w:style w:type="character" w:styleId="ae">
    <w:name w:val="annotation reference"/>
    <w:basedOn w:val="a0"/>
    <w:uiPriority w:val="99"/>
    <w:semiHidden/>
    <w:unhideWhenUsed/>
    <w:rsid w:val="00F2090F"/>
    <w:rPr>
      <w:sz w:val="16"/>
      <w:szCs w:val="16"/>
    </w:rPr>
  </w:style>
  <w:style w:type="paragraph" w:styleId="af">
    <w:name w:val="annotation text"/>
    <w:basedOn w:val="a"/>
    <w:link w:val="af0"/>
    <w:uiPriority w:val="99"/>
    <w:semiHidden/>
    <w:unhideWhenUsed/>
    <w:rsid w:val="00F2090F"/>
    <w:rPr>
      <w:sz w:val="20"/>
      <w:szCs w:val="20"/>
    </w:rPr>
  </w:style>
  <w:style w:type="character" w:customStyle="1" w:styleId="af0">
    <w:name w:val="Текст примечания Знак"/>
    <w:basedOn w:val="a0"/>
    <w:link w:val="af"/>
    <w:uiPriority w:val="99"/>
    <w:semiHidden/>
    <w:rsid w:val="00F2090F"/>
    <w:rPr>
      <w:rFonts w:ascii="Times New Roman" w:eastAsia="MS Mincho" w:hAnsi="Times New Roman" w:cs="Times New Roman"/>
      <w:sz w:val="20"/>
      <w:szCs w:val="20"/>
      <w:lang w:eastAsia="ja-JP"/>
    </w:rPr>
  </w:style>
  <w:style w:type="paragraph" w:styleId="af1">
    <w:name w:val="annotation subject"/>
    <w:basedOn w:val="af"/>
    <w:next w:val="af"/>
    <w:link w:val="af2"/>
    <w:uiPriority w:val="99"/>
    <w:semiHidden/>
    <w:unhideWhenUsed/>
    <w:rsid w:val="00F2090F"/>
    <w:rPr>
      <w:b/>
      <w:bCs/>
    </w:rPr>
  </w:style>
  <w:style w:type="character" w:customStyle="1" w:styleId="af2">
    <w:name w:val="Тема примечания Знак"/>
    <w:basedOn w:val="af0"/>
    <w:link w:val="af1"/>
    <w:uiPriority w:val="99"/>
    <w:semiHidden/>
    <w:rsid w:val="00F2090F"/>
    <w:rPr>
      <w:rFonts w:ascii="Times New Roman" w:eastAsia="MS Mincho" w:hAnsi="Times New Roman" w:cs="Times New Roman"/>
      <w:b/>
      <w:bCs/>
      <w:sz w:val="20"/>
      <w:szCs w:val="20"/>
      <w:lang w:eastAsia="ja-JP"/>
    </w:rPr>
  </w:style>
  <w:style w:type="paragraph" w:styleId="af3">
    <w:name w:val="Revision"/>
    <w:hidden/>
    <w:uiPriority w:val="99"/>
    <w:semiHidden/>
    <w:rsid w:val="00FA113C"/>
    <w:pPr>
      <w:spacing w:after="0" w:line="240" w:lineRule="auto"/>
    </w:pPr>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093"/>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92093"/>
    <w:pPr>
      <w:tabs>
        <w:tab w:val="center" w:pos="4677"/>
        <w:tab w:val="right" w:pos="9355"/>
      </w:tabs>
    </w:pPr>
  </w:style>
  <w:style w:type="character" w:customStyle="1" w:styleId="a4">
    <w:name w:val="Нижний колонтитул Знак"/>
    <w:basedOn w:val="a0"/>
    <w:link w:val="a3"/>
    <w:rsid w:val="00692093"/>
    <w:rPr>
      <w:rFonts w:ascii="Times New Roman" w:eastAsia="MS Mincho" w:hAnsi="Times New Roman" w:cs="Times New Roman"/>
      <w:sz w:val="24"/>
      <w:szCs w:val="24"/>
      <w:lang w:eastAsia="ja-JP"/>
    </w:rPr>
  </w:style>
  <w:style w:type="character" w:styleId="a5">
    <w:name w:val="page number"/>
    <w:basedOn w:val="a0"/>
    <w:rsid w:val="00692093"/>
  </w:style>
  <w:style w:type="paragraph" w:styleId="a6">
    <w:name w:val="Body Text"/>
    <w:basedOn w:val="a"/>
    <w:link w:val="a7"/>
    <w:rsid w:val="00692093"/>
    <w:pPr>
      <w:jc w:val="both"/>
    </w:pPr>
    <w:rPr>
      <w:rFonts w:ascii="Arial" w:eastAsia="Times New Roman" w:hAnsi="Arial"/>
      <w:sz w:val="28"/>
      <w:szCs w:val="20"/>
      <w:lang w:eastAsia="ru-RU"/>
    </w:rPr>
  </w:style>
  <w:style w:type="character" w:customStyle="1" w:styleId="a7">
    <w:name w:val="Основной текст Знак"/>
    <w:basedOn w:val="a0"/>
    <w:link w:val="a6"/>
    <w:rsid w:val="00692093"/>
    <w:rPr>
      <w:rFonts w:ascii="Arial" w:eastAsia="Times New Roman" w:hAnsi="Arial" w:cs="Times New Roman"/>
      <w:sz w:val="28"/>
      <w:szCs w:val="20"/>
      <w:lang w:eastAsia="ru-RU"/>
    </w:rPr>
  </w:style>
  <w:style w:type="paragraph" w:styleId="a8">
    <w:name w:val="No Spacing"/>
    <w:uiPriority w:val="1"/>
    <w:qFormat/>
    <w:rsid w:val="00692093"/>
    <w:pPr>
      <w:spacing w:after="0" w:line="240" w:lineRule="auto"/>
    </w:pPr>
    <w:rPr>
      <w:rFonts w:ascii="Calibri" w:eastAsia="Calibri" w:hAnsi="Calibri" w:cs="Times New Roman"/>
    </w:rPr>
  </w:style>
  <w:style w:type="paragraph" w:customStyle="1" w:styleId="Default">
    <w:name w:val="Default"/>
    <w:rsid w:val="0069209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9">
    <w:name w:val="Balloon Text"/>
    <w:basedOn w:val="a"/>
    <w:link w:val="aa"/>
    <w:uiPriority w:val="99"/>
    <w:semiHidden/>
    <w:unhideWhenUsed/>
    <w:rsid w:val="00692093"/>
    <w:rPr>
      <w:rFonts w:ascii="Tahoma" w:hAnsi="Tahoma" w:cs="Tahoma"/>
      <w:sz w:val="16"/>
      <w:szCs w:val="16"/>
    </w:rPr>
  </w:style>
  <w:style w:type="character" w:customStyle="1" w:styleId="aa">
    <w:name w:val="Текст выноски Знак"/>
    <w:basedOn w:val="a0"/>
    <w:link w:val="a9"/>
    <w:uiPriority w:val="99"/>
    <w:semiHidden/>
    <w:rsid w:val="00692093"/>
    <w:rPr>
      <w:rFonts w:ascii="Tahoma" w:eastAsia="MS Mincho" w:hAnsi="Tahoma" w:cs="Tahoma"/>
      <w:sz w:val="16"/>
      <w:szCs w:val="16"/>
      <w:lang w:eastAsia="ja-JP"/>
    </w:rPr>
  </w:style>
  <w:style w:type="paragraph" w:styleId="ab">
    <w:name w:val="header"/>
    <w:basedOn w:val="a"/>
    <w:link w:val="ac"/>
    <w:uiPriority w:val="99"/>
    <w:unhideWhenUsed/>
    <w:rsid w:val="0026124D"/>
    <w:pPr>
      <w:tabs>
        <w:tab w:val="center" w:pos="4677"/>
        <w:tab w:val="right" w:pos="9355"/>
      </w:tabs>
    </w:pPr>
  </w:style>
  <w:style w:type="character" w:customStyle="1" w:styleId="ac">
    <w:name w:val="Верхний колонтитул Знак"/>
    <w:basedOn w:val="a0"/>
    <w:link w:val="ab"/>
    <w:uiPriority w:val="99"/>
    <w:rsid w:val="0026124D"/>
    <w:rPr>
      <w:rFonts w:ascii="Times New Roman" w:eastAsia="MS Mincho" w:hAnsi="Times New Roman" w:cs="Times New Roman"/>
      <w:sz w:val="24"/>
      <w:szCs w:val="24"/>
      <w:lang w:eastAsia="ja-JP"/>
    </w:rPr>
  </w:style>
  <w:style w:type="character" w:styleId="ad">
    <w:name w:val="Hyperlink"/>
    <w:basedOn w:val="a0"/>
    <w:uiPriority w:val="99"/>
    <w:unhideWhenUsed/>
    <w:rsid w:val="00A87577"/>
    <w:rPr>
      <w:color w:val="0000FF" w:themeColor="hyperlink"/>
      <w:u w:val="single"/>
    </w:rPr>
  </w:style>
  <w:style w:type="character" w:styleId="ae">
    <w:name w:val="annotation reference"/>
    <w:basedOn w:val="a0"/>
    <w:uiPriority w:val="99"/>
    <w:semiHidden/>
    <w:unhideWhenUsed/>
    <w:rsid w:val="00F2090F"/>
    <w:rPr>
      <w:sz w:val="16"/>
      <w:szCs w:val="16"/>
    </w:rPr>
  </w:style>
  <w:style w:type="paragraph" w:styleId="af">
    <w:name w:val="annotation text"/>
    <w:basedOn w:val="a"/>
    <w:link w:val="af0"/>
    <w:uiPriority w:val="99"/>
    <w:semiHidden/>
    <w:unhideWhenUsed/>
    <w:rsid w:val="00F2090F"/>
    <w:rPr>
      <w:sz w:val="20"/>
      <w:szCs w:val="20"/>
    </w:rPr>
  </w:style>
  <w:style w:type="character" w:customStyle="1" w:styleId="af0">
    <w:name w:val="Текст примечания Знак"/>
    <w:basedOn w:val="a0"/>
    <w:link w:val="af"/>
    <w:uiPriority w:val="99"/>
    <w:semiHidden/>
    <w:rsid w:val="00F2090F"/>
    <w:rPr>
      <w:rFonts w:ascii="Times New Roman" w:eastAsia="MS Mincho" w:hAnsi="Times New Roman" w:cs="Times New Roman"/>
      <w:sz w:val="20"/>
      <w:szCs w:val="20"/>
      <w:lang w:eastAsia="ja-JP"/>
    </w:rPr>
  </w:style>
  <w:style w:type="paragraph" w:styleId="af1">
    <w:name w:val="annotation subject"/>
    <w:basedOn w:val="af"/>
    <w:next w:val="af"/>
    <w:link w:val="af2"/>
    <w:uiPriority w:val="99"/>
    <w:semiHidden/>
    <w:unhideWhenUsed/>
    <w:rsid w:val="00F2090F"/>
    <w:rPr>
      <w:b/>
      <w:bCs/>
    </w:rPr>
  </w:style>
  <w:style w:type="character" w:customStyle="1" w:styleId="af2">
    <w:name w:val="Тема примечания Знак"/>
    <w:basedOn w:val="af0"/>
    <w:link w:val="af1"/>
    <w:uiPriority w:val="99"/>
    <w:semiHidden/>
    <w:rsid w:val="00F2090F"/>
    <w:rPr>
      <w:rFonts w:ascii="Times New Roman" w:eastAsia="MS Mincho" w:hAnsi="Times New Roman" w:cs="Times New Roman"/>
      <w:b/>
      <w:bCs/>
      <w:sz w:val="20"/>
      <w:szCs w:val="20"/>
      <w:lang w:eastAsia="ja-JP"/>
    </w:rPr>
  </w:style>
  <w:style w:type="paragraph" w:styleId="af3">
    <w:name w:val="Revision"/>
    <w:hidden/>
    <w:uiPriority w:val="99"/>
    <w:semiHidden/>
    <w:rsid w:val="00FA113C"/>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pharmacovigilance.kz@drreddy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webmaster@glenmar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e9e98d-8518-41da-95e3-1226b21e8bfb">
      <Terms xmlns="http://schemas.microsoft.com/office/infopath/2007/PartnerControls"/>
    </lcf76f155ced4ddcb4097134ff3c332f>
    <TaxCatchAll xmlns="ccdf8cec-7113-4ca8-947e-bfddc88eb7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C2DE0D8BA5443893A4F1757D02DAD" ma:contentTypeVersion="16" ma:contentTypeDescription="Create a new document." ma:contentTypeScope="" ma:versionID="1741ff9dee8292d54ad7081cc4fcb2c3">
  <xsd:schema xmlns:xsd="http://www.w3.org/2001/XMLSchema" xmlns:xs="http://www.w3.org/2001/XMLSchema" xmlns:p="http://schemas.microsoft.com/office/2006/metadata/properties" xmlns:ns2="ccdf8cec-7113-4ca8-947e-bfddc88eb7ed" xmlns:ns3="48e9e98d-8518-41da-95e3-1226b21e8bfb" targetNamespace="http://schemas.microsoft.com/office/2006/metadata/properties" ma:root="true" ma:fieldsID="948358703650c03af3438c209875f7bc" ns2:_="" ns3:_="">
    <xsd:import namespace="ccdf8cec-7113-4ca8-947e-bfddc88eb7ed"/>
    <xsd:import namespace="48e9e98d-8518-41da-95e3-1226b21e8b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f8cec-7113-4ca8-947e-bfddc88eb7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ee556d-6c29-4d55-b763-fbc6c3d4a978}" ma:internalName="TaxCatchAll" ma:showField="CatchAllData" ma:web="ccdf8cec-7113-4ca8-947e-bfddc88eb7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e9e98d-8518-41da-95e3-1226b21e8b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d0b6dba-d5cd-4fe5-9874-52817b7d7ba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11A98-7CD5-48AB-A71E-8EC80777A93D}">
  <ds:schemaRefs>
    <ds:schemaRef ds:uri="http://schemas.microsoft.com/office/2006/metadata/properties"/>
    <ds:schemaRef ds:uri="http://schemas.microsoft.com/office/infopath/2007/PartnerControls"/>
    <ds:schemaRef ds:uri="48e9e98d-8518-41da-95e3-1226b21e8bfb"/>
    <ds:schemaRef ds:uri="ccdf8cec-7113-4ca8-947e-bfddc88eb7ed"/>
  </ds:schemaRefs>
</ds:datastoreItem>
</file>

<file path=customXml/itemProps2.xml><?xml version="1.0" encoding="utf-8"?>
<ds:datastoreItem xmlns:ds="http://schemas.openxmlformats.org/officeDocument/2006/customXml" ds:itemID="{0056B9E1-67E2-491C-BF18-EECE561DE423}">
  <ds:schemaRefs>
    <ds:schemaRef ds:uri="http://schemas.microsoft.com/sharepoint/v3/contenttype/forms"/>
  </ds:schemaRefs>
</ds:datastoreItem>
</file>

<file path=customXml/itemProps3.xml><?xml version="1.0" encoding="utf-8"?>
<ds:datastoreItem xmlns:ds="http://schemas.openxmlformats.org/officeDocument/2006/customXml" ds:itemID="{2CDBC8B3-7D09-4E80-8088-C98D5C9A0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f8cec-7113-4ca8-947e-bfddc88eb7ed"/>
    <ds:schemaRef ds:uri="48e9e98d-8518-41da-95e3-1226b21e8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2642</Words>
  <Characters>15060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 Салимовна Буркитбаева</dc:creator>
  <cp:lastModifiedBy>Маржан К. Амиркулова</cp:lastModifiedBy>
  <cp:revision>42</cp:revision>
  <cp:lastPrinted>2020-10-29T05:10:00Z</cp:lastPrinted>
  <dcterms:created xsi:type="dcterms:W3CDTF">2020-12-29T15:43:00Z</dcterms:created>
  <dcterms:modified xsi:type="dcterms:W3CDTF">2025-10-16T10:07:00Z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0x01010027BC2DE0D8BA5443893A4F1757D02DAD</vt:lpwstr>
  </property>
  <property fmtid="{D5CDD505-2E9C-101B-9397-08002B2CF9AE}" pid="3" name="MediaServiceImageTags">
    <vt:lpwstr/>
  </property>
</Properties>
</file>